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5FB9B" w14:textId="450798D6" w:rsidR="00A67C43" w:rsidRPr="00A67C43" w:rsidRDefault="00A67C43" w:rsidP="00A67C43">
      <w:pPr>
        <w:pStyle w:val="Title"/>
        <w:rPr>
          <w:color w:val="3B3944" w:themeColor="accent2"/>
          <w:sz w:val="36"/>
          <w:szCs w:val="44"/>
        </w:rPr>
      </w:pPr>
      <w:bookmarkStart w:id="0" w:name="_Toc38462319"/>
      <w:r w:rsidRPr="00A67C43">
        <w:rPr>
          <w:color w:val="3B3944" w:themeColor="accent2"/>
          <w:sz w:val="36"/>
          <w:szCs w:val="44"/>
        </w:rPr>
        <w:t>Whistleblower protection – reporting serious wrongdoing</w:t>
      </w:r>
      <w:bookmarkEnd w:id="0"/>
    </w:p>
    <w:p w14:paraId="1003FE05" w14:textId="7842E137" w:rsidR="00A67C43" w:rsidRPr="00A67C43" w:rsidRDefault="00A67C43" w:rsidP="00A67C43">
      <w:pPr>
        <w:pStyle w:val="BodyText"/>
        <w:rPr>
          <w:color w:val="00A59B" w:themeColor="accent1"/>
          <w:sz w:val="28"/>
          <w:szCs w:val="28"/>
        </w:rPr>
      </w:pPr>
      <w:bookmarkStart w:id="1" w:name="_Toc38462320"/>
      <w:r w:rsidRPr="00A67C43">
        <w:rPr>
          <w:color w:val="00A59B" w:themeColor="accent1"/>
          <w:sz w:val="28"/>
          <w:szCs w:val="28"/>
        </w:rPr>
        <w:t>Contents</w:t>
      </w:r>
      <w:bookmarkEnd w:id="1"/>
    </w:p>
    <w:p w14:paraId="5C8F5661" w14:textId="3DEA8FFE" w:rsidR="001811FC" w:rsidRDefault="00A67C43">
      <w:pPr>
        <w:pStyle w:val="TOC2"/>
        <w:rPr>
          <w:rFonts w:eastAsiaTheme="minorEastAsia"/>
          <w:noProof/>
          <w:lang w:eastAsia="en-AU"/>
        </w:rPr>
      </w:pPr>
      <w:r>
        <w:rPr>
          <w:b/>
          <w:noProof/>
          <w:sz w:val="24"/>
        </w:rPr>
        <w:fldChar w:fldCharType="begin"/>
      </w:r>
      <w:r>
        <w:instrText xml:space="preserve"> TOC \h \z \t "Heading 1,4,Heading 2,5,Heading 3,6,Alt Heading 1,1,Alt Heading 2,2,Alt Heading 3,3" </w:instrText>
      </w:r>
      <w:r>
        <w:rPr>
          <w:b/>
          <w:noProof/>
          <w:sz w:val="24"/>
        </w:rPr>
        <w:fldChar w:fldCharType="separate"/>
      </w:r>
      <w:hyperlink w:anchor="_Toc40775784" w:history="1">
        <w:r w:rsidR="001811FC" w:rsidRPr="00011DB3">
          <w:rPr>
            <w:rStyle w:val="Hyperlink"/>
            <w:noProof/>
          </w:rPr>
          <w:t>Purpose of whistleblower protection</w:t>
        </w:r>
        <w:r w:rsidR="001811FC">
          <w:rPr>
            <w:noProof/>
            <w:webHidden/>
          </w:rPr>
          <w:tab/>
        </w:r>
        <w:r w:rsidR="001811FC">
          <w:rPr>
            <w:noProof/>
            <w:webHidden/>
          </w:rPr>
          <w:fldChar w:fldCharType="begin"/>
        </w:r>
        <w:r w:rsidR="001811FC">
          <w:rPr>
            <w:noProof/>
            <w:webHidden/>
          </w:rPr>
          <w:instrText xml:space="preserve"> PAGEREF _Toc40775784 \h </w:instrText>
        </w:r>
        <w:r w:rsidR="001811FC">
          <w:rPr>
            <w:noProof/>
            <w:webHidden/>
          </w:rPr>
        </w:r>
        <w:r w:rsidR="001811FC">
          <w:rPr>
            <w:noProof/>
            <w:webHidden/>
          </w:rPr>
          <w:fldChar w:fldCharType="separate"/>
        </w:r>
        <w:r w:rsidR="001811FC">
          <w:rPr>
            <w:noProof/>
            <w:webHidden/>
          </w:rPr>
          <w:t>1</w:t>
        </w:r>
        <w:r w:rsidR="001811FC">
          <w:rPr>
            <w:noProof/>
            <w:webHidden/>
          </w:rPr>
          <w:fldChar w:fldCharType="end"/>
        </w:r>
      </w:hyperlink>
    </w:p>
    <w:p w14:paraId="01F1C0DA" w14:textId="4744F3EF" w:rsidR="001811FC" w:rsidRDefault="008F1E5A">
      <w:pPr>
        <w:pStyle w:val="TOC2"/>
        <w:rPr>
          <w:rFonts w:eastAsiaTheme="minorEastAsia"/>
          <w:noProof/>
          <w:lang w:eastAsia="en-AU"/>
        </w:rPr>
      </w:pPr>
      <w:hyperlink w:anchor="_Toc40775785" w:history="1">
        <w:r w:rsidR="001811FC" w:rsidRPr="00011DB3">
          <w:rPr>
            <w:rStyle w:val="Hyperlink"/>
            <w:noProof/>
          </w:rPr>
          <w:t>Who can make a disclosure?</w:t>
        </w:r>
        <w:r w:rsidR="001811FC">
          <w:rPr>
            <w:noProof/>
            <w:webHidden/>
          </w:rPr>
          <w:tab/>
        </w:r>
        <w:r w:rsidR="001811FC">
          <w:rPr>
            <w:noProof/>
            <w:webHidden/>
          </w:rPr>
          <w:fldChar w:fldCharType="begin"/>
        </w:r>
        <w:r w:rsidR="001811FC">
          <w:rPr>
            <w:noProof/>
            <w:webHidden/>
          </w:rPr>
          <w:instrText xml:space="preserve"> PAGEREF _Toc40775785 \h </w:instrText>
        </w:r>
        <w:r w:rsidR="001811FC">
          <w:rPr>
            <w:noProof/>
            <w:webHidden/>
          </w:rPr>
        </w:r>
        <w:r w:rsidR="001811FC">
          <w:rPr>
            <w:noProof/>
            <w:webHidden/>
          </w:rPr>
          <w:fldChar w:fldCharType="separate"/>
        </w:r>
        <w:r w:rsidR="001811FC">
          <w:rPr>
            <w:noProof/>
            <w:webHidden/>
          </w:rPr>
          <w:t>1</w:t>
        </w:r>
        <w:r w:rsidR="001811FC">
          <w:rPr>
            <w:noProof/>
            <w:webHidden/>
          </w:rPr>
          <w:fldChar w:fldCharType="end"/>
        </w:r>
      </w:hyperlink>
    </w:p>
    <w:p w14:paraId="3280171B" w14:textId="66472D5A" w:rsidR="001811FC" w:rsidRDefault="008F1E5A">
      <w:pPr>
        <w:pStyle w:val="TOC2"/>
        <w:rPr>
          <w:rFonts w:eastAsiaTheme="minorEastAsia"/>
          <w:noProof/>
          <w:lang w:eastAsia="en-AU"/>
        </w:rPr>
      </w:pPr>
      <w:hyperlink w:anchor="_Toc40775786" w:history="1">
        <w:r w:rsidR="001811FC" w:rsidRPr="00011DB3">
          <w:rPr>
            <w:rStyle w:val="Hyperlink"/>
            <w:noProof/>
          </w:rPr>
          <w:t>What matters may be reported?</w:t>
        </w:r>
        <w:r w:rsidR="001811FC">
          <w:rPr>
            <w:noProof/>
            <w:webHidden/>
          </w:rPr>
          <w:tab/>
        </w:r>
        <w:r w:rsidR="001811FC">
          <w:rPr>
            <w:noProof/>
            <w:webHidden/>
          </w:rPr>
          <w:fldChar w:fldCharType="begin"/>
        </w:r>
        <w:r w:rsidR="001811FC">
          <w:rPr>
            <w:noProof/>
            <w:webHidden/>
          </w:rPr>
          <w:instrText xml:space="preserve"> PAGEREF _Toc40775786 \h </w:instrText>
        </w:r>
        <w:r w:rsidR="001811FC">
          <w:rPr>
            <w:noProof/>
            <w:webHidden/>
          </w:rPr>
        </w:r>
        <w:r w:rsidR="001811FC">
          <w:rPr>
            <w:noProof/>
            <w:webHidden/>
          </w:rPr>
          <w:fldChar w:fldCharType="separate"/>
        </w:r>
        <w:r w:rsidR="001811FC">
          <w:rPr>
            <w:noProof/>
            <w:webHidden/>
          </w:rPr>
          <w:t>1</w:t>
        </w:r>
        <w:r w:rsidR="001811FC">
          <w:rPr>
            <w:noProof/>
            <w:webHidden/>
          </w:rPr>
          <w:fldChar w:fldCharType="end"/>
        </w:r>
      </w:hyperlink>
    </w:p>
    <w:p w14:paraId="77032B38" w14:textId="04E09D21" w:rsidR="001811FC" w:rsidRDefault="008F1E5A">
      <w:pPr>
        <w:pStyle w:val="TOC2"/>
        <w:rPr>
          <w:rFonts w:eastAsiaTheme="minorEastAsia"/>
          <w:noProof/>
          <w:lang w:eastAsia="en-AU"/>
        </w:rPr>
      </w:pPr>
      <w:hyperlink w:anchor="_Toc40775787" w:history="1">
        <w:r w:rsidR="001811FC" w:rsidRPr="00011DB3">
          <w:rPr>
            <w:rStyle w:val="Hyperlink"/>
            <w:noProof/>
          </w:rPr>
          <w:t>Who can receive your disclosure?</w:t>
        </w:r>
        <w:r w:rsidR="001811FC">
          <w:rPr>
            <w:noProof/>
            <w:webHidden/>
          </w:rPr>
          <w:tab/>
        </w:r>
        <w:r w:rsidR="001811FC">
          <w:rPr>
            <w:noProof/>
            <w:webHidden/>
          </w:rPr>
          <w:fldChar w:fldCharType="begin"/>
        </w:r>
        <w:r w:rsidR="001811FC">
          <w:rPr>
            <w:noProof/>
            <w:webHidden/>
          </w:rPr>
          <w:instrText xml:space="preserve"> PAGEREF _Toc40775787 \h </w:instrText>
        </w:r>
        <w:r w:rsidR="001811FC">
          <w:rPr>
            <w:noProof/>
            <w:webHidden/>
          </w:rPr>
        </w:r>
        <w:r w:rsidR="001811FC">
          <w:rPr>
            <w:noProof/>
            <w:webHidden/>
          </w:rPr>
          <w:fldChar w:fldCharType="separate"/>
        </w:r>
        <w:r w:rsidR="001811FC">
          <w:rPr>
            <w:noProof/>
            <w:webHidden/>
          </w:rPr>
          <w:t>3</w:t>
        </w:r>
        <w:r w:rsidR="001811FC">
          <w:rPr>
            <w:noProof/>
            <w:webHidden/>
          </w:rPr>
          <w:fldChar w:fldCharType="end"/>
        </w:r>
      </w:hyperlink>
    </w:p>
    <w:p w14:paraId="4F9DEDF7" w14:textId="58976ECF" w:rsidR="001811FC" w:rsidRDefault="008F1E5A">
      <w:pPr>
        <w:pStyle w:val="TOC2"/>
        <w:rPr>
          <w:rFonts w:eastAsiaTheme="minorEastAsia"/>
          <w:noProof/>
          <w:lang w:eastAsia="en-AU"/>
        </w:rPr>
      </w:pPr>
      <w:hyperlink w:anchor="_Toc40775788" w:history="1">
        <w:r w:rsidR="001811FC" w:rsidRPr="00011DB3">
          <w:rPr>
            <w:rStyle w:val="Hyperlink"/>
            <w:noProof/>
          </w:rPr>
          <w:t>How to make a disclosure</w:t>
        </w:r>
        <w:r w:rsidR="001811FC">
          <w:rPr>
            <w:noProof/>
            <w:webHidden/>
          </w:rPr>
          <w:tab/>
        </w:r>
        <w:r w:rsidR="001811FC">
          <w:rPr>
            <w:noProof/>
            <w:webHidden/>
          </w:rPr>
          <w:fldChar w:fldCharType="begin"/>
        </w:r>
        <w:r w:rsidR="001811FC">
          <w:rPr>
            <w:noProof/>
            <w:webHidden/>
          </w:rPr>
          <w:instrText xml:space="preserve"> PAGEREF _Toc40775788 \h </w:instrText>
        </w:r>
        <w:r w:rsidR="001811FC">
          <w:rPr>
            <w:noProof/>
            <w:webHidden/>
          </w:rPr>
        </w:r>
        <w:r w:rsidR="001811FC">
          <w:rPr>
            <w:noProof/>
            <w:webHidden/>
          </w:rPr>
          <w:fldChar w:fldCharType="separate"/>
        </w:r>
        <w:r w:rsidR="001811FC">
          <w:rPr>
            <w:noProof/>
            <w:webHidden/>
          </w:rPr>
          <w:t>3</w:t>
        </w:r>
        <w:r w:rsidR="001811FC">
          <w:rPr>
            <w:noProof/>
            <w:webHidden/>
          </w:rPr>
          <w:fldChar w:fldCharType="end"/>
        </w:r>
      </w:hyperlink>
    </w:p>
    <w:p w14:paraId="78BF08D9" w14:textId="6695F9DF" w:rsidR="001811FC" w:rsidRDefault="008F1E5A">
      <w:pPr>
        <w:pStyle w:val="TOC3"/>
        <w:rPr>
          <w:rFonts w:eastAsiaTheme="minorEastAsia"/>
          <w:noProof/>
          <w:sz w:val="22"/>
          <w:lang w:eastAsia="en-AU"/>
        </w:rPr>
      </w:pPr>
      <w:hyperlink w:anchor="_Toc40775789" w:history="1">
        <w:r w:rsidR="001811FC" w:rsidRPr="00011DB3">
          <w:rPr>
            <w:rStyle w:val="Hyperlink"/>
            <w:noProof/>
          </w:rPr>
          <w:t>Choosing to be anonymous</w:t>
        </w:r>
        <w:r w:rsidR="001811FC">
          <w:rPr>
            <w:noProof/>
            <w:webHidden/>
          </w:rPr>
          <w:tab/>
        </w:r>
        <w:r w:rsidR="001811FC">
          <w:rPr>
            <w:noProof/>
            <w:webHidden/>
          </w:rPr>
          <w:fldChar w:fldCharType="begin"/>
        </w:r>
        <w:r w:rsidR="001811FC">
          <w:rPr>
            <w:noProof/>
            <w:webHidden/>
          </w:rPr>
          <w:instrText xml:space="preserve"> PAGEREF _Toc40775789 \h </w:instrText>
        </w:r>
        <w:r w:rsidR="001811FC">
          <w:rPr>
            <w:noProof/>
            <w:webHidden/>
          </w:rPr>
        </w:r>
        <w:r w:rsidR="001811FC">
          <w:rPr>
            <w:noProof/>
            <w:webHidden/>
          </w:rPr>
          <w:fldChar w:fldCharType="separate"/>
        </w:r>
        <w:r w:rsidR="001811FC">
          <w:rPr>
            <w:noProof/>
            <w:webHidden/>
          </w:rPr>
          <w:t>4</w:t>
        </w:r>
        <w:r w:rsidR="001811FC">
          <w:rPr>
            <w:noProof/>
            <w:webHidden/>
          </w:rPr>
          <w:fldChar w:fldCharType="end"/>
        </w:r>
      </w:hyperlink>
    </w:p>
    <w:p w14:paraId="53C37128" w14:textId="154D76E3" w:rsidR="001811FC" w:rsidRDefault="008F1E5A">
      <w:pPr>
        <w:pStyle w:val="TOC3"/>
        <w:rPr>
          <w:rFonts w:eastAsiaTheme="minorEastAsia"/>
          <w:noProof/>
          <w:sz w:val="22"/>
          <w:lang w:eastAsia="en-AU"/>
        </w:rPr>
      </w:pPr>
      <w:hyperlink w:anchor="_Toc40775790" w:history="1">
        <w:r w:rsidR="001811FC" w:rsidRPr="00011DB3">
          <w:rPr>
            <w:rStyle w:val="Hyperlink"/>
            <w:noProof/>
          </w:rPr>
          <w:t>Emergency or public interest disclosure</w:t>
        </w:r>
        <w:r w:rsidR="001811FC">
          <w:rPr>
            <w:noProof/>
            <w:webHidden/>
          </w:rPr>
          <w:tab/>
        </w:r>
        <w:r w:rsidR="001811FC">
          <w:rPr>
            <w:noProof/>
            <w:webHidden/>
          </w:rPr>
          <w:fldChar w:fldCharType="begin"/>
        </w:r>
        <w:r w:rsidR="001811FC">
          <w:rPr>
            <w:noProof/>
            <w:webHidden/>
          </w:rPr>
          <w:instrText xml:space="preserve"> PAGEREF _Toc40775790 \h </w:instrText>
        </w:r>
        <w:r w:rsidR="001811FC">
          <w:rPr>
            <w:noProof/>
            <w:webHidden/>
          </w:rPr>
        </w:r>
        <w:r w:rsidR="001811FC">
          <w:rPr>
            <w:noProof/>
            <w:webHidden/>
          </w:rPr>
          <w:fldChar w:fldCharType="separate"/>
        </w:r>
        <w:r w:rsidR="001811FC">
          <w:rPr>
            <w:noProof/>
            <w:webHidden/>
          </w:rPr>
          <w:t>4</w:t>
        </w:r>
        <w:r w:rsidR="001811FC">
          <w:rPr>
            <w:noProof/>
            <w:webHidden/>
          </w:rPr>
          <w:fldChar w:fldCharType="end"/>
        </w:r>
      </w:hyperlink>
    </w:p>
    <w:p w14:paraId="0BD8DCFB" w14:textId="719966E8" w:rsidR="001811FC" w:rsidRDefault="008F1E5A">
      <w:pPr>
        <w:pStyle w:val="TOC2"/>
        <w:rPr>
          <w:rFonts w:eastAsiaTheme="minorEastAsia"/>
          <w:noProof/>
          <w:lang w:eastAsia="en-AU"/>
        </w:rPr>
      </w:pPr>
      <w:hyperlink w:anchor="_Toc40775791" w:history="1">
        <w:r w:rsidR="001811FC" w:rsidRPr="00011DB3">
          <w:rPr>
            <w:rStyle w:val="Hyperlink"/>
            <w:noProof/>
          </w:rPr>
          <w:t>Personal work-related grievances</w:t>
        </w:r>
        <w:r w:rsidR="001811FC">
          <w:rPr>
            <w:noProof/>
            <w:webHidden/>
          </w:rPr>
          <w:tab/>
        </w:r>
        <w:r w:rsidR="001811FC">
          <w:rPr>
            <w:noProof/>
            <w:webHidden/>
          </w:rPr>
          <w:fldChar w:fldCharType="begin"/>
        </w:r>
        <w:r w:rsidR="001811FC">
          <w:rPr>
            <w:noProof/>
            <w:webHidden/>
          </w:rPr>
          <w:instrText xml:space="preserve"> PAGEREF _Toc40775791 \h </w:instrText>
        </w:r>
        <w:r w:rsidR="001811FC">
          <w:rPr>
            <w:noProof/>
            <w:webHidden/>
          </w:rPr>
        </w:r>
        <w:r w:rsidR="001811FC">
          <w:rPr>
            <w:noProof/>
            <w:webHidden/>
          </w:rPr>
          <w:fldChar w:fldCharType="separate"/>
        </w:r>
        <w:r w:rsidR="001811FC">
          <w:rPr>
            <w:noProof/>
            <w:webHidden/>
          </w:rPr>
          <w:t>4</w:t>
        </w:r>
        <w:r w:rsidR="001811FC">
          <w:rPr>
            <w:noProof/>
            <w:webHidden/>
          </w:rPr>
          <w:fldChar w:fldCharType="end"/>
        </w:r>
      </w:hyperlink>
    </w:p>
    <w:p w14:paraId="19A24DAC" w14:textId="7BB1284A" w:rsidR="001811FC" w:rsidRDefault="008F1E5A">
      <w:pPr>
        <w:pStyle w:val="TOC2"/>
        <w:rPr>
          <w:rFonts w:eastAsiaTheme="minorEastAsia"/>
          <w:noProof/>
          <w:lang w:eastAsia="en-AU"/>
        </w:rPr>
      </w:pPr>
      <w:hyperlink w:anchor="_Toc40775792" w:history="1">
        <w:r w:rsidR="001811FC" w:rsidRPr="00011DB3">
          <w:rPr>
            <w:rStyle w:val="Hyperlink"/>
            <w:noProof/>
          </w:rPr>
          <w:t>How you are protected by law</w:t>
        </w:r>
        <w:r w:rsidR="001811FC">
          <w:rPr>
            <w:noProof/>
            <w:webHidden/>
          </w:rPr>
          <w:tab/>
        </w:r>
        <w:r w:rsidR="001811FC">
          <w:rPr>
            <w:noProof/>
            <w:webHidden/>
          </w:rPr>
          <w:fldChar w:fldCharType="begin"/>
        </w:r>
        <w:r w:rsidR="001811FC">
          <w:rPr>
            <w:noProof/>
            <w:webHidden/>
          </w:rPr>
          <w:instrText xml:space="preserve"> PAGEREF _Toc40775792 \h </w:instrText>
        </w:r>
        <w:r w:rsidR="001811FC">
          <w:rPr>
            <w:noProof/>
            <w:webHidden/>
          </w:rPr>
        </w:r>
        <w:r w:rsidR="001811FC">
          <w:rPr>
            <w:noProof/>
            <w:webHidden/>
          </w:rPr>
          <w:fldChar w:fldCharType="separate"/>
        </w:r>
        <w:r w:rsidR="001811FC">
          <w:rPr>
            <w:noProof/>
            <w:webHidden/>
          </w:rPr>
          <w:t>5</w:t>
        </w:r>
        <w:r w:rsidR="001811FC">
          <w:rPr>
            <w:noProof/>
            <w:webHidden/>
          </w:rPr>
          <w:fldChar w:fldCharType="end"/>
        </w:r>
      </w:hyperlink>
    </w:p>
    <w:p w14:paraId="028A73B7" w14:textId="71DC7E02" w:rsidR="001811FC" w:rsidRDefault="008F1E5A">
      <w:pPr>
        <w:pStyle w:val="TOC2"/>
        <w:rPr>
          <w:rFonts w:eastAsiaTheme="minorEastAsia"/>
          <w:noProof/>
          <w:lang w:eastAsia="en-AU"/>
        </w:rPr>
      </w:pPr>
      <w:hyperlink w:anchor="_Toc40775793" w:history="1">
        <w:r w:rsidR="001811FC" w:rsidRPr="00011DB3">
          <w:rPr>
            <w:rStyle w:val="Hyperlink"/>
            <w:noProof/>
          </w:rPr>
          <w:t>Support and practical protection measures</w:t>
        </w:r>
        <w:r w:rsidR="001811FC">
          <w:rPr>
            <w:noProof/>
            <w:webHidden/>
          </w:rPr>
          <w:tab/>
        </w:r>
        <w:r w:rsidR="001811FC">
          <w:rPr>
            <w:noProof/>
            <w:webHidden/>
          </w:rPr>
          <w:fldChar w:fldCharType="begin"/>
        </w:r>
        <w:r w:rsidR="001811FC">
          <w:rPr>
            <w:noProof/>
            <w:webHidden/>
          </w:rPr>
          <w:instrText xml:space="preserve"> PAGEREF _Toc40775793 \h </w:instrText>
        </w:r>
        <w:r w:rsidR="001811FC">
          <w:rPr>
            <w:noProof/>
            <w:webHidden/>
          </w:rPr>
        </w:r>
        <w:r w:rsidR="001811FC">
          <w:rPr>
            <w:noProof/>
            <w:webHidden/>
          </w:rPr>
          <w:fldChar w:fldCharType="separate"/>
        </w:r>
        <w:r w:rsidR="001811FC">
          <w:rPr>
            <w:noProof/>
            <w:webHidden/>
          </w:rPr>
          <w:t>5</w:t>
        </w:r>
        <w:r w:rsidR="001811FC">
          <w:rPr>
            <w:noProof/>
            <w:webHidden/>
          </w:rPr>
          <w:fldChar w:fldCharType="end"/>
        </w:r>
      </w:hyperlink>
    </w:p>
    <w:p w14:paraId="1485D7C0" w14:textId="0A990514" w:rsidR="001811FC" w:rsidRDefault="008F1E5A">
      <w:pPr>
        <w:pStyle w:val="TOC3"/>
        <w:rPr>
          <w:rFonts w:eastAsiaTheme="minorEastAsia"/>
          <w:noProof/>
          <w:sz w:val="22"/>
          <w:lang w:eastAsia="en-AU"/>
        </w:rPr>
      </w:pPr>
      <w:hyperlink w:anchor="_Toc40775794" w:history="1">
        <w:r w:rsidR="001811FC" w:rsidRPr="00011DB3">
          <w:rPr>
            <w:rStyle w:val="Hyperlink"/>
            <w:noProof/>
          </w:rPr>
          <w:t>Causing or threatening to cause detriment</w:t>
        </w:r>
        <w:r w:rsidR="001811FC">
          <w:rPr>
            <w:noProof/>
            <w:webHidden/>
          </w:rPr>
          <w:tab/>
        </w:r>
        <w:r w:rsidR="001811FC">
          <w:rPr>
            <w:noProof/>
            <w:webHidden/>
          </w:rPr>
          <w:fldChar w:fldCharType="begin"/>
        </w:r>
        <w:r w:rsidR="001811FC">
          <w:rPr>
            <w:noProof/>
            <w:webHidden/>
          </w:rPr>
          <w:instrText xml:space="preserve"> PAGEREF _Toc40775794 \h </w:instrText>
        </w:r>
        <w:r w:rsidR="001811FC">
          <w:rPr>
            <w:noProof/>
            <w:webHidden/>
          </w:rPr>
        </w:r>
        <w:r w:rsidR="001811FC">
          <w:rPr>
            <w:noProof/>
            <w:webHidden/>
          </w:rPr>
          <w:fldChar w:fldCharType="separate"/>
        </w:r>
        <w:r w:rsidR="001811FC">
          <w:rPr>
            <w:noProof/>
            <w:webHidden/>
          </w:rPr>
          <w:t>6</w:t>
        </w:r>
        <w:r w:rsidR="001811FC">
          <w:rPr>
            <w:noProof/>
            <w:webHidden/>
          </w:rPr>
          <w:fldChar w:fldCharType="end"/>
        </w:r>
      </w:hyperlink>
    </w:p>
    <w:p w14:paraId="6DB290EE" w14:textId="3FA8AC4B" w:rsidR="001811FC" w:rsidRDefault="008F1E5A">
      <w:pPr>
        <w:pStyle w:val="TOC3"/>
        <w:rPr>
          <w:rFonts w:eastAsiaTheme="minorEastAsia"/>
          <w:noProof/>
          <w:sz w:val="22"/>
          <w:lang w:eastAsia="en-AU"/>
        </w:rPr>
      </w:pPr>
      <w:hyperlink w:anchor="_Toc40775795" w:history="1">
        <w:r w:rsidR="001811FC" w:rsidRPr="00011DB3">
          <w:rPr>
            <w:rStyle w:val="Hyperlink"/>
            <w:noProof/>
          </w:rPr>
          <w:t>Preventing detriment and providing support</w:t>
        </w:r>
        <w:r w:rsidR="001811FC">
          <w:rPr>
            <w:noProof/>
            <w:webHidden/>
          </w:rPr>
          <w:tab/>
        </w:r>
        <w:r w:rsidR="001811FC">
          <w:rPr>
            <w:noProof/>
            <w:webHidden/>
          </w:rPr>
          <w:fldChar w:fldCharType="begin"/>
        </w:r>
        <w:r w:rsidR="001811FC">
          <w:rPr>
            <w:noProof/>
            <w:webHidden/>
          </w:rPr>
          <w:instrText xml:space="preserve"> PAGEREF _Toc40775795 \h </w:instrText>
        </w:r>
        <w:r w:rsidR="001811FC">
          <w:rPr>
            <w:noProof/>
            <w:webHidden/>
          </w:rPr>
        </w:r>
        <w:r w:rsidR="001811FC">
          <w:rPr>
            <w:noProof/>
            <w:webHidden/>
          </w:rPr>
          <w:fldChar w:fldCharType="separate"/>
        </w:r>
        <w:r w:rsidR="001811FC">
          <w:rPr>
            <w:noProof/>
            <w:webHidden/>
          </w:rPr>
          <w:t>6</w:t>
        </w:r>
        <w:r w:rsidR="001811FC">
          <w:rPr>
            <w:noProof/>
            <w:webHidden/>
          </w:rPr>
          <w:fldChar w:fldCharType="end"/>
        </w:r>
      </w:hyperlink>
    </w:p>
    <w:p w14:paraId="766EE36F" w14:textId="6184AA59" w:rsidR="001811FC" w:rsidRDefault="008F1E5A">
      <w:pPr>
        <w:pStyle w:val="TOC2"/>
        <w:rPr>
          <w:rFonts w:eastAsiaTheme="minorEastAsia"/>
          <w:noProof/>
          <w:lang w:eastAsia="en-AU"/>
        </w:rPr>
      </w:pPr>
      <w:hyperlink w:anchor="_Toc40775796" w:history="1">
        <w:r w:rsidR="001811FC" w:rsidRPr="00011DB3">
          <w:rPr>
            <w:rStyle w:val="Hyperlink"/>
            <w:noProof/>
          </w:rPr>
          <w:t>After you make a disclosure</w:t>
        </w:r>
        <w:r w:rsidR="001811FC">
          <w:rPr>
            <w:noProof/>
            <w:webHidden/>
          </w:rPr>
          <w:tab/>
        </w:r>
        <w:r w:rsidR="001811FC">
          <w:rPr>
            <w:noProof/>
            <w:webHidden/>
          </w:rPr>
          <w:fldChar w:fldCharType="begin"/>
        </w:r>
        <w:r w:rsidR="001811FC">
          <w:rPr>
            <w:noProof/>
            <w:webHidden/>
          </w:rPr>
          <w:instrText xml:space="preserve"> PAGEREF _Toc40775796 \h </w:instrText>
        </w:r>
        <w:r w:rsidR="001811FC">
          <w:rPr>
            <w:noProof/>
            <w:webHidden/>
          </w:rPr>
        </w:r>
        <w:r w:rsidR="001811FC">
          <w:rPr>
            <w:noProof/>
            <w:webHidden/>
          </w:rPr>
          <w:fldChar w:fldCharType="separate"/>
        </w:r>
        <w:r w:rsidR="001811FC">
          <w:rPr>
            <w:noProof/>
            <w:webHidden/>
          </w:rPr>
          <w:t>7</w:t>
        </w:r>
        <w:r w:rsidR="001811FC">
          <w:rPr>
            <w:noProof/>
            <w:webHidden/>
          </w:rPr>
          <w:fldChar w:fldCharType="end"/>
        </w:r>
      </w:hyperlink>
    </w:p>
    <w:p w14:paraId="17180599" w14:textId="3363BE56" w:rsidR="001811FC" w:rsidRDefault="008F1E5A">
      <w:pPr>
        <w:pStyle w:val="TOC2"/>
        <w:rPr>
          <w:rFonts w:eastAsiaTheme="minorEastAsia"/>
          <w:noProof/>
          <w:lang w:eastAsia="en-AU"/>
        </w:rPr>
      </w:pPr>
      <w:hyperlink w:anchor="_Toc40775797" w:history="1">
        <w:r w:rsidR="001811FC" w:rsidRPr="00011DB3">
          <w:rPr>
            <w:rStyle w:val="Hyperlink"/>
            <w:noProof/>
          </w:rPr>
          <w:t>Review of decisions</w:t>
        </w:r>
        <w:r w:rsidR="001811FC">
          <w:rPr>
            <w:noProof/>
            <w:webHidden/>
          </w:rPr>
          <w:tab/>
        </w:r>
        <w:r w:rsidR="001811FC">
          <w:rPr>
            <w:noProof/>
            <w:webHidden/>
          </w:rPr>
          <w:fldChar w:fldCharType="begin"/>
        </w:r>
        <w:r w:rsidR="001811FC">
          <w:rPr>
            <w:noProof/>
            <w:webHidden/>
          </w:rPr>
          <w:instrText xml:space="preserve"> PAGEREF _Toc40775797 \h </w:instrText>
        </w:r>
        <w:r w:rsidR="001811FC">
          <w:rPr>
            <w:noProof/>
            <w:webHidden/>
          </w:rPr>
        </w:r>
        <w:r w:rsidR="001811FC">
          <w:rPr>
            <w:noProof/>
            <w:webHidden/>
          </w:rPr>
          <w:fldChar w:fldCharType="separate"/>
        </w:r>
        <w:r w:rsidR="001811FC">
          <w:rPr>
            <w:noProof/>
            <w:webHidden/>
          </w:rPr>
          <w:t>7</w:t>
        </w:r>
        <w:r w:rsidR="001811FC">
          <w:rPr>
            <w:noProof/>
            <w:webHidden/>
          </w:rPr>
          <w:fldChar w:fldCharType="end"/>
        </w:r>
      </w:hyperlink>
    </w:p>
    <w:p w14:paraId="6320132E" w14:textId="0F9B8432" w:rsidR="00A67C43" w:rsidRPr="009935AD" w:rsidRDefault="00A67C43" w:rsidP="001811FC">
      <w:pPr>
        <w:pStyle w:val="AltHeading2"/>
      </w:pPr>
      <w:r>
        <w:fldChar w:fldCharType="end"/>
      </w:r>
      <w:bookmarkStart w:id="2" w:name="_Toc27063578"/>
      <w:bookmarkStart w:id="3" w:name="_Toc40775784"/>
      <w:r w:rsidRPr="009935AD">
        <w:t xml:space="preserve">Purpose of whistleblower </w:t>
      </w:r>
      <w:r w:rsidRPr="001811FC">
        <w:t>protection</w:t>
      </w:r>
      <w:bookmarkEnd w:id="2"/>
      <w:bookmarkEnd w:id="3"/>
    </w:p>
    <w:p w14:paraId="608CC731" w14:textId="77777777" w:rsidR="00A67C43" w:rsidRDefault="00A67C43" w:rsidP="00A67C43">
      <w:pPr>
        <w:pStyle w:val="BodyText"/>
      </w:pPr>
      <w:r>
        <w:t>The policy and procedures set out in this topic are an important tool for helping to identify serious wrongdoing through providing a safe and secure means of disclosure, so are aimed at:</w:t>
      </w:r>
    </w:p>
    <w:p w14:paraId="13C289D5" w14:textId="77777777" w:rsidR="00A67C43" w:rsidRDefault="00A67C43" w:rsidP="00A67C43">
      <w:pPr>
        <w:pStyle w:val="ListBullet0"/>
        <w:numPr>
          <w:ilvl w:val="0"/>
          <w:numId w:val="2"/>
        </w:numPr>
      </w:pPr>
      <w:r>
        <w:t xml:space="preserve">encouraging disclosures if serious wrongdoing occurs </w:t>
      </w:r>
    </w:p>
    <w:p w14:paraId="292E5A7E" w14:textId="77777777" w:rsidR="00A67C43" w:rsidRDefault="00A67C43" w:rsidP="00A67C43">
      <w:pPr>
        <w:pStyle w:val="ListBullet0"/>
        <w:numPr>
          <w:ilvl w:val="0"/>
          <w:numId w:val="2"/>
        </w:numPr>
      </w:pPr>
      <w:r>
        <w:t>providing transparency around receiving, handling and investigating disclosures</w:t>
      </w:r>
    </w:p>
    <w:p w14:paraId="72524A65" w14:textId="77777777" w:rsidR="00A67C43" w:rsidRDefault="00A67C43" w:rsidP="00A67C43">
      <w:pPr>
        <w:pStyle w:val="ListBullet0"/>
        <w:numPr>
          <w:ilvl w:val="0"/>
          <w:numId w:val="2"/>
        </w:numPr>
      </w:pPr>
      <w:r>
        <w:t>protecting those who disclose serious wrongdoing</w:t>
      </w:r>
    </w:p>
    <w:p w14:paraId="59FCEE7D" w14:textId="77777777" w:rsidR="00A67C43" w:rsidRDefault="00A67C43" w:rsidP="00A67C43">
      <w:pPr>
        <w:pStyle w:val="ListBullet0"/>
        <w:numPr>
          <w:ilvl w:val="0"/>
          <w:numId w:val="2"/>
        </w:numPr>
      </w:pPr>
      <w:r>
        <w:t>deterring serious wrongdoing by increasing the likelihood that it will be reported</w:t>
      </w:r>
    </w:p>
    <w:p w14:paraId="57561D88" w14:textId="77777777" w:rsidR="00A67C43" w:rsidRDefault="00A67C43" w:rsidP="00A67C43">
      <w:pPr>
        <w:pStyle w:val="ListBullet0"/>
        <w:numPr>
          <w:ilvl w:val="0"/>
          <w:numId w:val="2"/>
        </w:numPr>
      </w:pPr>
      <w:r>
        <w:t>consolidating and enhancing our value commitment to ethical behaviour</w:t>
      </w:r>
    </w:p>
    <w:p w14:paraId="1DB7C85E" w14:textId="77777777" w:rsidR="00A67C43" w:rsidRDefault="00A67C43" w:rsidP="00A67C43">
      <w:pPr>
        <w:pStyle w:val="BodyText"/>
      </w:pPr>
      <w:r>
        <w:t>A whistleblower is someone who discloses information about serious wrongdoing that may otherwise go undetected. As we encourage anyone with such information to disclose this information, it is important that a potential whistleblower understands how they will be assured of protection.</w:t>
      </w:r>
    </w:p>
    <w:p w14:paraId="2E8E8F72" w14:textId="77777777" w:rsidR="00A67C43" w:rsidRDefault="00A67C43" w:rsidP="00A67C43">
      <w:pPr>
        <w:pStyle w:val="AltHeading2"/>
      </w:pPr>
      <w:bookmarkStart w:id="4" w:name="_Toc27063579"/>
      <w:bookmarkStart w:id="5" w:name="_Toc40775785"/>
      <w:r>
        <w:t>Who can make a disclosure?</w:t>
      </w:r>
      <w:bookmarkEnd w:id="4"/>
      <w:bookmarkEnd w:id="5"/>
    </w:p>
    <w:p w14:paraId="2E21E554" w14:textId="77777777" w:rsidR="00A67C43" w:rsidRDefault="00A67C43" w:rsidP="00A67C43">
      <w:pPr>
        <w:pStyle w:val="BodyText"/>
      </w:pPr>
      <w:r>
        <w:t>You can make a disclosure and qualify for protection if you are:</w:t>
      </w:r>
    </w:p>
    <w:p w14:paraId="656783FB" w14:textId="77777777" w:rsidR="00A67C43" w:rsidRDefault="00A67C43" w:rsidP="00A67C43">
      <w:pPr>
        <w:pStyle w:val="ListBullet0"/>
        <w:numPr>
          <w:ilvl w:val="0"/>
          <w:numId w:val="2"/>
        </w:numPr>
      </w:pPr>
      <w:r>
        <w:t>a current or former employee (including full time, part time, fixed term, temporary, on secondment, or an intern)</w:t>
      </w:r>
    </w:p>
    <w:p w14:paraId="4F3F246D" w14:textId="77777777" w:rsidR="00A67C43" w:rsidRDefault="00A67C43" w:rsidP="00A67C43">
      <w:pPr>
        <w:pStyle w:val="ListBullet0"/>
        <w:numPr>
          <w:ilvl w:val="0"/>
          <w:numId w:val="2"/>
        </w:numPr>
      </w:pPr>
      <w:r>
        <w:t>an officer (including Directors and the Company Secretary)</w:t>
      </w:r>
    </w:p>
    <w:p w14:paraId="4465472F" w14:textId="77777777" w:rsidR="00A67C43" w:rsidRDefault="00A67C43" w:rsidP="00A67C43">
      <w:pPr>
        <w:pStyle w:val="ListBullet0"/>
        <w:numPr>
          <w:ilvl w:val="0"/>
          <w:numId w:val="2"/>
        </w:numPr>
      </w:pPr>
      <w:r>
        <w:t>a supplier of services or goods (this includes contractors and consultants, service providers and business partners), or their employees (past or present)</w:t>
      </w:r>
    </w:p>
    <w:p w14:paraId="7C68AAE4" w14:textId="77777777" w:rsidR="00A67C43" w:rsidRDefault="00A67C43" w:rsidP="00A67C43">
      <w:pPr>
        <w:pStyle w:val="ListBullet0"/>
        <w:numPr>
          <w:ilvl w:val="0"/>
          <w:numId w:val="2"/>
        </w:numPr>
      </w:pPr>
      <w:r>
        <w:t xml:space="preserve">an associate of StateCover </w:t>
      </w:r>
    </w:p>
    <w:p w14:paraId="5670DE58" w14:textId="77777777" w:rsidR="00A67C43" w:rsidRDefault="00A67C43" w:rsidP="00A67C43">
      <w:pPr>
        <w:pStyle w:val="ListBullet0"/>
        <w:numPr>
          <w:ilvl w:val="0"/>
          <w:numId w:val="2"/>
        </w:numPr>
      </w:pPr>
      <w:r>
        <w:t>a relative, dependant, or spouse of any of the above</w:t>
      </w:r>
    </w:p>
    <w:p w14:paraId="430EB700" w14:textId="77777777" w:rsidR="00A67C43" w:rsidRDefault="00A67C43" w:rsidP="00A67C43">
      <w:pPr>
        <w:pStyle w:val="AltHeading2"/>
      </w:pPr>
      <w:bookmarkStart w:id="6" w:name="_Toc27063580"/>
      <w:bookmarkStart w:id="7" w:name="_Toc40775786"/>
      <w:r>
        <w:t>What matters may be reported?</w:t>
      </w:r>
      <w:bookmarkEnd w:id="6"/>
      <w:bookmarkEnd w:id="7"/>
    </w:p>
    <w:p w14:paraId="268F5D75" w14:textId="77777777" w:rsidR="00A67C43" w:rsidRDefault="00A67C43" w:rsidP="00A67C43">
      <w:pPr>
        <w:pStyle w:val="BodyText"/>
      </w:pPr>
      <w:r>
        <w:t xml:space="preserve">If you have information that gives you reasonable grounds to suspect serious wrongdoing (that is, misconduct or an improper state of affairs or circumstances), you are encouraged to report the disclosable matter as soon as possible. You are also encouraged to report a matter which may pose a </w:t>
      </w:r>
      <w:r>
        <w:lastRenderedPageBreak/>
        <w:t>significant risk to public safety or the stability of, or confidence in, the financial system.  Examples of serious wrongdoing (which may not necessarily involve contravention of a particular law) include:</w:t>
      </w:r>
    </w:p>
    <w:p w14:paraId="65011EE7" w14:textId="77777777" w:rsidR="00A67C43" w:rsidRDefault="00A67C43" w:rsidP="00A67C43">
      <w:pPr>
        <w:pStyle w:val="ListBullet0"/>
        <w:numPr>
          <w:ilvl w:val="0"/>
          <w:numId w:val="2"/>
        </w:numPr>
      </w:pPr>
      <w:r>
        <w:t>illegal conduct, such as theft, dealing in, or use of illicit drugs, violence or threatened violence, and criminal damage against property</w:t>
      </w:r>
    </w:p>
    <w:p w14:paraId="770B761B" w14:textId="77777777" w:rsidR="00A67C43" w:rsidRDefault="00A67C43" w:rsidP="00A67C43">
      <w:pPr>
        <w:pStyle w:val="ListBullet0"/>
        <w:numPr>
          <w:ilvl w:val="0"/>
          <w:numId w:val="2"/>
        </w:numPr>
      </w:pPr>
      <w:r>
        <w:t>fraud, money laundering or misappropriation of funds</w:t>
      </w:r>
    </w:p>
    <w:p w14:paraId="0DBEE31F" w14:textId="77777777" w:rsidR="00A67C43" w:rsidRDefault="00A67C43" w:rsidP="00A67C43">
      <w:pPr>
        <w:pStyle w:val="ListBullet0"/>
        <w:numPr>
          <w:ilvl w:val="0"/>
          <w:numId w:val="2"/>
        </w:numPr>
      </w:pPr>
      <w:r>
        <w:t>offering or accepting a bribe</w:t>
      </w:r>
    </w:p>
    <w:p w14:paraId="6F1BD2BB" w14:textId="77777777" w:rsidR="00A67C43" w:rsidRDefault="00A67C43" w:rsidP="00A67C43">
      <w:pPr>
        <w:pStyle w:val="ListBullet0"/>
        <w:numPr>
          <w:ilvl w:val="0"/>
          <w:numId w:val="2"/>
        </w:numPr>
      </w:pPr>
      <w:r>
        <w:t>financial irregularities</w:t>
      </w:r>
    </w:p>
    <w:p w14:paraId="19705229" w14:textId="77777777" w:rsidR="00A67C43" w:rsidRDefault="00A67C43" w:rsidP="00A67C43">
      <w:pPr>
        <w:pStyle w:val="ListBullet0"/>
        <w:numPr>
          <w:ilvl w:val="0"/>
          <w:numId w:val="2"/>
        </w:numPr>
      </w:pPr>
      <w:r>
        <w:t>circumstances that are a danger to the public or the financial system</w:t>
      </w:r>
    </w:p>
    <w:p w14:paraId="050CBD0C" w14:textId="77777777" w:rsidR="00A67C43" w:rsidRDefault="00A67C43" w:rsidP="00A67C43">
      <w:pPr>
        <w:pStyle w:val="ListBullet0"/>
        <w:numPr>
          <w:ilvl w:val="0"/>
          <w:numId w:val="2"/>
        </w:numPr>
      </w:pPr>
      <w:r>
        <w:t>failure to comply with, or breaches of, legal or regulatory requirements</w:t>
      </w:r>
    </w:p>
    <w:p w14:paraId="54BD3A25" w14:textId="77777777" w:rsidR="00A67C43" w:rsidRDefault="00A67C43" w:rsidP="00A67C43">
      <w:pPr>
        <w:pStyle w:val="ListBullet0"/>
        <w:numPr>
          <w:ilvl w:val="0"/>
          <w:numId w:val="2"/>
        </w:numPr>
      </w:pPr>
      <w:r>
        <w:t>actions or circumstances that are prohibited by</w:t>
      </w:r>
      <w:r w:rsidRPr="00AD5674">
        <w:t xml:space="preserve"> regulation</w:t>
      </w:r>
      <w:r>
        <w:t xml:space="preserve"> or that contravene:</w:t>
      </w:r>
    </w:p>
    <w:p w14:paraId="7A6C6D89" w14:textId="77777777" w:rsidR="00A67C43" w:rsidRDefault="00A67C43" w:rsidP="00A67C43">
      <w:pPr>
        <w:pStyle w:val="ListBullet2"/>
        <w:numPr>
          <w:ilvl w:val="1"/>
          <w:numId w:val="2"/>
        </w:numPr>
      </w:pPr>
      <w:r>
        <w:t>a law of the Commonwealth punishable by imprisonment for 12 months or more</w:t>
      </w:r>
    </w:p>
    <w:p w14:paraId="2CB327A4" w14:textId="77777777" w:rsidR="00A67C43" w:rsidRDefault="00A67C43" w:rsidP="00A67C43">
      <w:pPr>
        <w:pStyle w:val="ListBullet2"/>
        <w:numPr>
          <w:ilvl w:val="1"/>
          <w:numId w:val="2"/>
        </w:numPr>
      </w:pPr>
      <w:r>
        <w:t>the Corporations Act 2001</w:t>
      </w:r>
    </w:p>
    <w:p w14:paraId="7004969E" w14:textId="77777777" w:rsidR="00A67C43" w:rsidRDefault="00A67C43" w:rsidP="00A67C43">
      <w:pPr>
        <w:pStyle w:val="ListBullet2"/>
        <w:numPr>
          <w:ilvl w:val="1"/>
          <w:numId w:val="2"/>
        </w:numPr>
      </w:pPr>
      <w:r>
        <w:t>the Australian Securities and Investments Commission Act 2001</w:t>
      </w:r>
    </w:p>
    <w:p w14:paraId="7B1315A5" w14:textId="77777777" w:rsidR="00A67C43" w:rsidRDefault="00A67C43" w:rsidP="00A67C43">
      <w:pPr>
        <w:pStyle w:val="ListBullet2"/>
        <w:numPr>
          <w:ilvl w:val="1"/>
          <w:numId w:val="2"/>
        </w:numPr>
      </w:pPr>
      <w:r>
        <w:t>the Banking Act 1959</w:t>
      </w:r>
    </w:p>
    <w:p w14:paraId="26324AA9" w14:textId="77777777" w:rsidR="00A67C43" w:rsidRDefault="00A67C43" w:rsidP="00A67C43">
      <w:pPr>
        <w:pStyle w:val="ListBullet2"/>
        <w:numPr>
          <w:ilvl w:val="1"/>
          <w:numId w:val="2"/>
        </w:numPr>
      </w:pPr>
      <w:r>
        <w:t>the Financial Sector (Collection of Data) Act 2001</w:t>
      </w:r>
    </w:p>
    <w:p w14:paraId="726708A3" w14:textId="77777777" w:rsidR="00A67C43" w:rsidRDefault="00A67C43" w:rsidP="00A67C43">
      <w:pPr>
        <w:pStyle w:val="ListBullet2"/>
        <w:numPr>
          <w:ilvl w:val="1"/>
          <w:numId w:val="2"/>
        </w:numPr>
      </w:pPr>
      <w:r>
        <w:t>the Insurance Act 1973</w:t>
      </w:r>
    </w:p>
    <w:p w14:paraId="75C34DD9" w14:textId="77777777" w:rsidR="00A67C43" w:rsidRDefault="00A67C43" w:rsidP="00A67C43">
      <w:pPr>
        <w:pStyle w:val="ListBullet2"/>
        <w:numPr>
          <w:ilvl w:val="1"/>
          <w:numId w:val="2"/>
        </w:numPr>
      </w:pPr>
      <w:r>
        <w:t>the Life Insurance Act 1995</w:t>
      </w:r>
    </w:p>
    <w:p w14:paraId="608E68C1" w14:textId="77777777" w:rsidR="00A67C43" w:rsidRDefault="00A67C43" w:rsidP="00A67C43">
      <w:pPr>
        <w:pStyle w:val="ListBullet2"/>
        <w:numPr>
          <w:ilvl w:val="1"/>
          <w:numId w:val="2"/>
        </w:numPr>
      </w:pPr>
      <w:r>
        <w:t>the National Consumer Credit Protection Act 2009</w:t>
      </w:r>
    </w:p>
    <w:p w14:paraId="525595BE" w14:textId="77777777" w:rsidR="00A67C43" w:rsidRDefault="00A67C43" w:rsidP="00A67C43">
      <w:pPr>
        <w:pStyle w:val="ListBullet2"/>
        <w:numPr>
          <w:ilvl w:val="1"/>
          <w:numId w:val="2"/>
        </w:numPr>
      </w:pPr>
      <w:r>
        <w:t>the Superannuation Industry (Supervision) Act 1993</w:t>
      </w:r>
    </w:p>
    <w:p w14:paraId="385E8DDD" w14:textId="33EE1D70" w:rsidR="00A67C43" w:rsidRDefault="00A67C43" w:rsidP="00A67C43">
      <w:pPr>
        <w:pStyle w:val="BodyText"/>
      </w:pPr>
      <w:r>
        <w:t xml:space="preserve">Some matters will not be disclosable matters so will not qualify for protection under the Corporations Act.  However, some disclosures may be protected under other legislation, such as under Part IVD of the </w:t>
      </w:r>
      <w:r w:rsidRPr="382551CC">
        <w:rPr>
          <w:i/>
          <w:iCs/>
        </w:rPr>
        <w:t xml:space="preserve">Taxation Administration Act 1953, </w:t>
      </w:r>
      <w:r>
        <w:t>and the</w:t>
      </w:r>
      <w:r w:rsidRPr="382551CC">
        <w:rPr>
          <w:i/>
          <w:iCs/>
        </w:rPr>
        <w:t xml:space="preserve"> Fair Work Act 2009. </w:t>
      </w:r>
      <w:r>
        <w:t xml:space="preserve">Refer to the </w:t>
      </w:r>
      <w:hyperlink r:id="rId12">
        <w:r w:rsidRPr="382551CC">
          <w:rPr>
            <w:rStyle w:val="Hyperlink"/>
          </w:rPr>
          <w:t>ATO website</w:t>
        </w:r>
      </w:hyperlink>
      <w:r>
        <w:t xml:space="preserve"> for tax-related whistleblower information.  </w:t>
      </w:r>
      <w:r w:rsidRPr="382551CC">
        <w:rPr>
          <w:i/>
          <w:iCs/>
        </w:rPr>
        <w:t xml:space="preserve">  </w:t>
      </w:r>
    </w:p>
    <w:p w14:paraId="1E752A15" w14:textId="3617FFAD" w:rsidR="001811FC" w:rsidRDefault="00A67C43" w:rsidP="00A67C43">
      <w:pPr>
        <w:pStyle w:val="BodyText"/>
      </w:pPr>
      <w:r>
        <w:t xml:space="preserve">If you are unsure whether to make a disclosure, please contact the </w:t>
      </w:r>
      <w:hyperlink r:id="rId13">
        <w:r w:rsidRPr="0204BCC3">
          <w:rPr>
            <w:rStyle w:val="Hyperlink"/>
          </w:rPr>
          <w:t>Whistleblower Protection Officer</w:t>
        </w:r>
      </w:hyperlink>
      <w:r>
        <w:t xml:space="preserve"> </w:t>
      </w:r>
      <w:r w:rsidR="00EF0BAB">
        <w:t xml:space="preserve">(WPO) </w:t>
      </w:r>
      <w:r>
        <w:t>for advice, or alternatively obtain advice from a legal practitioner.</w:t>
      </w:r>
    </w:p>
    <w:p w14:paraId="0FDC3675" w14:textId="77777777" w:rsidR="00A67C43" w:rsidRPr="00543AD9" w:rsidRDefault="00A67C43" w:rsidP="00A67C43">
      <w:pPr>
        <w:pStyle w:val="AltHeading2"/>
      </w:pPr>
      <w:bookmarkStart w:id="8" w:name="_Toc27063581"/>
      <w:bookmarkStart w:id="9" w:name="_Toc40775787"/>
      <w:bookmarkStart w:id="10" w:name="_Ref19177316"/>
      <w:r>
        <w:t>Who can receive your disclosure?</w:t>
      </w:r>
      <w:bookmarkEnd w:id="8"/>
      <w:bookmarkEnd w:id="9"/>
    </w:p>
    <w:p w14:paraId="0E21DD48" w14:textId="7F57D145" w:rsidR="00A67C43" w:rsidRDefault="18B90905" w:rsidP="00A67C43">
      <w:pPr>
        <w:pStyle w:val="BodyText"/>
      </w:pPr>
      <w:r>
        <w:t xml:space="preserve">To qualify for protection, you have a choice of disclosing directly to a number of people.  In the first instance, you are encouraged to make your disclosure to the </w:t>
      </w:r>
      <w:r w:rsidR="163F324E">
        <w:t>WPO.</w:t>
      </w:r>
      <w:r>
        <w:t xml:space="preserve"> Alternatively, you may make your disclosure to the Company Secretary, Chief Risk Officer, Internal Auditor</w:t>
      </w:r>
      <w:r w:rsidR="00A12E5C">
        <w:t xml:space="preserve"> </w:t>
      </w:r>
      <w:r w:rsidR="00A12E5C" w:rsidRPr="00080170">
        <w:t>or Chair of the Audit Committee</w:t>
      </w:r>
      <w:r w:rsidRPr="00080170">
        <w:t>.</w:t>
      </w:r>
      <w:r>
        <w:t xml:space="preserve"> If you prefer to liaise with an external party, the disclosure may be made to the external auditor (KPMG) or consulting actuary (Finity).</w:t>
      </w:r>
    </w:p>
    <w:p w14:paraId="4432BE2A" w14:textId="77777777" w:rsidR="00A67C43" w:rsidRDefault="00A67C43" w:rsidP="00A67C43">
      <w:pPr>
        <w:pStyle w:val="BodyText"/>
      </w:pPr>
      <w:r>
        <w:t>If you are unsure, or you do not feel comfortable contacting those people noted above, you may contact:</w:t>
      </w:r>
    </w:p>
    <w:p w14:paraId="69B63523" w14:textId="77777777" w:rsidR="00A67C43" w:rsidRDefault="00A67C43" w:rsidP="00A67C43">
      <w:pPr>
        <w:pStyle w:val="ListBullet0"/>
        <w:numPr>
          <w:ilvl w:val="0"/>
          <w:numId w:val="2"/>
        </w:numPr>
      </w:pPr>
      <w:r>
        <w:t>a legal practitioner for the purpose of getting legal advice (NB you will be protected even if their advice is that your information does not relate to a disclosable matter)</w:t>
      </w:r>
    </w:p>
    <w:p w14:paraId="0E215E6D" w14:textId="61DF1367" w:rsidR="00A67C43" w:rsidRDefault="00A67C43" w:rsidP="00A67C43">
      <w:pPr>
        <w:pStyle w:val="ListBullet0"/>
        <w:numPr>
          <w:ilvl w:val="0"/>
          <w:numId w:val="2"/>
        </w:numPr>
      </w:pPr>
      <w:r>
        <w:t xml:space="preserve">the regulatory authorities </w:t>
      </w:r>
      <w:hyperlink r:id="rId14">
        <w:r w:rsidRPr="1C792A14">
          <w:rPr>
            <w:rStyle w:val="Hyperlink"/>
          </w:rPr>
          <w:t>APRA</w:t>
        </w:r>
      </w:hyperlink>
      <w:r>
        <w:t xml:space="preserve"> or </w:t>
      </w:r>
      <w:hyperlink r:id="rId15">
        <w:r w:rsidRPr="1C792A14">
          <w:rPr>
            <w:rStyle w:val="Hyperlink"/>
          </w:rPr>
          <w:t>ASIC</w:t>
        </w:r>
      </w:hyperlink>
      <w:r>
        <w:t xml:space="preserve"> (whistleblower information for these organisations is available on their websites)</w:t>
      </w:r>
    </w:p>
    <w:p w14:paraId="313045DA" w14:textId="45F83760" w:rsidR="00A67C43" w:rsidRDefault="00A67C43" w:rsidP="00A67C43">
      <w:pPr>
        <w:pStyle w:val="ListBullet0"/>
        <w:numPr>
          <w:ilvl w:val="0"/>
          <w:numId w:val="2"/>
        </w:numPr>
      </w:pPr>
      <w:r>
        <w:t xml:space="preserve">the </w:t>
      </w:r>
      <w:r w:rsidRPr="00C349DE">
        <w:t>Australian Taxation Office</w:t>
      </w:r>
      <w:r>
        <w:t xml:space="preserve"> (ATO) if the matter relates to taxation (the ATO provides whistleblower protection to those who are eligible, see </w:t>
      </w:r>
      <w:hyperlink r:id="rId16" w:history="1">
        <w:r w:rsidRPr="00993087">
          <w:rPr>
            <w:rStyle w:val="Hyperlink"/>
          </w:rPr>
          <w:t>www.ato.gov.au/General/Gen/Whistleblowers/</w:t>
        </w:r>
      </w:hyperlink>
      <w:r>
        <w:t xml:space="preserve"> for details).</w:t>
      </w:r>
    </w:p>
    <w:p w14:paraId="23F49643" w14:textId="77777777" w:rsidR="00A67C43" w:rsidRDefault="00A67C43" w:rsidP="00A67C43">
      <w:pPr>
        <w:pStyle w:val="ListBullet0"/>
        <w:numPr>
          <w:ilvl w:val="0"/>
          <w:numId w:val="2"/>
        </w:numPr>
      </w:pPr>
      <w:r>
        <w:t>a member of parliament or journalist, if there is an emergency or it is a serious matter of public interest</w:t>
      </w:r>
    </w:p>
    <w:p w14:paraId="7935488D" w14:textId="31718027" w:rsidR="00A67C43" w:rsidRDefault="00A67C43" w:rsidP="00A67C43">
      <w:pPr>
        <w:pStyle w:val="BodyText"/>
      </w:pPr>
      <w:r>
        <w:t xml:space="preserve">If you are considering making an emergency or public interest disclosure, and to ensure your protection, you are encouraged to first contact an independent legal advisor to ensure that you understand the criteria which applies to such disclosures.  For more details, see below under the heading </w:t>
      </w:r>
      <w:r w:rsidRPr="00877879">
        <w:rPr>
          <w:i/>
          <w:iCs/>
        </w:rPr>
        <w:fldChar w:fldCharType="begin"/>
      </w:r>
      <w:r w:rsidRPr="00877879">
        <w:rPr>
          <w:i/>
        </w:rPr>
        <w:instrText xml:space="preserve"> REF _Ref19177404 \h </w:instrText>
      </w:r>
      <w:r w:rsidRPr="00877879">
        <w:rPr>
          <w:i/>
          <w:iCs/>
        </w:rPr>
        <w:instrText xml:space="preserve"> \* MERGEFORMAT </w:instrText>
      </w:r>
      <w:r w:rsidRPr="00877879">
        <w:rPr>
          <w:i/>
          <w:iCs/>
        </w:rPr>
      </w:r>
      <w:r w:rsidRPr="00877879">
        <w:rPr>
          <w:i/>
          <w:iCs/>
        </w:rPr>
        <w:fldChar w:fldCharType="separate"/>
      </w:r>
      <w:r w:rsidRPr="00A67C43">
        <w:rPr>
          <w:i/>
        </w:rPr>
        <w:t>Emergency or public interest disclosure</w:t>
      </w:r>
      <w:r w:rsidRPr="00877879">
        <w:rPr>
          <w:i/>
          <w:iCs/>
        </w:rPr>
        <w:fldChar w:fldCharType="end"/>
      </w:r>
      <w:r>
        <w:t xml:space="preserve">.   </w:t>
      </w:r>
    </w:p>
    <w:p w14:paraId="0C2D3C9E" w14:textId="6F02DA5C" w:rsidR="00A67C43" w:rsidRDefault="00A67C43" w:rsidP="00A67C43">
      <w:pPr>
        <w:pStyle w:val="AltHeading2"/>
      </w:pPr>
      <w:bookmarkStart w:id="11" w:name="_Toc27063582"/>
      <w:bookmarkStart w:id="12" w:name="_Toc40775788"/>
      <w:r>
        <w:t>How to make a disclosure</w:t>
      </w:r>
      <w:bookmarkEnd w:id="11"/>
      <w:bookmarkEnd w:id="12"/>
    </w:p>
    <w:p w14:paraId="3E7B2262" w14:textId="77777777" w:rsidR="00A67C43" w:rsidRDefault="00A67C43" w:rsidP="00A67C43">
      <w:pPr>
        <w:pStyle w:val="BodyText"/>
      </w:pPr>
      <w:r>
        <w:t>You can make a disclosure at any time by personal contact, telephone, email, or mail, as below:</w:t>
      </w:r>
    </w:p>
    <w:p w14:paraId="5ABAC9FF" w14:textId="52861971" w:rsidR="005F25F8" w:rsidRDefault="00A12E5C" w:rsidP="00EB55A8">
      <w:pPr>
        <w:pStyle w:val="ListBullet0"/>
        <w:numPr>
          <w:ilvl w:val="0"/>
          <w:numId w:val="2"/>
        </w:numPr>
      </w:pPr>
      <w:r w:rsidRPr="005F25F8">
        <w:t xml:space="preserve">you may email us at </w:t>
      </w:r>
      <w:hyperlink r:id="rId17">
        <w:r w:rsidRPr="005F25F8">
          <w:rPr>
            <w:rStyle w:val="Hyperlink"/>
          </w:rPr>
          <w:t>whistleblower@statecover.net.au</w:t>
        </w:r>
      </w:hyperlink>
      <w:r w:rsidR="005F25F8">
        <w:rPr>
          <w:rStyle w:val="Hyperlink"/>
        </w:rPr>
        <w:t xml:space="preserve"> </w:t>
      </w:r>
      <w:r w:rsidR="005F25F8">
        <w:t>– this email address auto-forwards to the WPO only</w:t>
      </w:r>
    </w:p>
    <w:p w14:paraId="14E2F128" w14:textId="380037A1" w:rsidR="00A67C43" w:rsidRPr="005F25F8" w:rsidRDefault="00A67C43" w:rsidP="00A67C43">
      <w:pPr>
        <w:pStyle w:val="ListBullet0"/>
        <w:numPr>
          <w:ilvl w:val="0"/>
          <w:numId w:val="2"/>
        </w:numPr>
      </w:pPr>
      <w:r w:rsidRPr="005F25F8">
        <w:t xml:space="preserve">if you are inside the organisation, look up the </w:t>
      </w:r>
      <w:hyperlink r:id="rId18">
        <w:r w:rsidRPr="005F25F8">
          <w:rPr>
            <w:rStyle w:val="Hyperlink"/>
          </w:rPr>
          <w:t>Internal Directory</w:t>
        </w:r>
      </w:hyperlink>
      <w:r w:rsidR="00A12E5C" w:rsidRPr="005F25F8">
        <w:t xml:space="preserve"> for contact details of the Company Secretary, CRO and Internal Auditor</w:t>
      </w:r>
    </w:p>
    <w:p w14:paraId="614A400E" w14:textId="3337F292" w:rsidR="00A67C43" w:rsidRDefault="18B90905" w:rsidP="00A67C43">
      <w:pPr>
        <w:pStyle w:val="ListBullet0"/>
        <w:numPr>
          <w:ilvl w:val="0"/>
          <w:numId w:val="2"/>
        </w:numPr>
      </w:pPr>
      <w:r>
        <w:t xml:space="preserve">if outside the organisation, </w:t>
      </w:r>
      <w:r w:rsidR="1F1AE260">
        <w:t xml:space="preserve">click on the link to our Whistleblower Policy at the bottom of our </w:t>
      </w:r>
      <w:hyperlink r:id="rId19" w:history="1">
        <w:r w:rsidR="1F1AE260" w:rsidRPr="2856B02E">
          <w:rPr>
            <w:rStyle w:val="Hyperlink"/>
          </w:rPr>
          <w:t>website home page</w:t>
        </w:r>
      </w:hyperlink>
      <w:r w:rsidR="1F1AE260">
        <w:t xml:space="preserve"> </w:t>
      </w:r>
    </w:p>
    <w:p w14:paraId="78883F96" w14:textId="29EED149" w:rsidR="00A67C43" w:rsidRDefault="00A67C43" w:rsidP="00A67C43">
      <w:pPr>
        <w:pStyle w:val="ListBullet0"/>
        <w:numPr>
          <w:ilvl w:val="0"/>
          <w:numId w:val="2"/>
        </w:numPr>
      </w:pPr>
      <w:r>
        <w:t>you may write to us at PO Box R1865, Royal Exchange NSW 1225</w:t>
      </w:r>
      <w:r w:rsidR="00134AA9">
        <w:t>, addressing your letter to the Whistleblower Protection Officer, and clearly marking the envelope “Private &amp; Confidential – to be opened by addressee only”</w:t>
      </w:r>
    </w:p>
    <w:p w14:paraId="1B68333F" w14:textId="1D89329F" w:rsidR="00A67C43" w:rsidRDefault="010DB0A9" w:rsidP="00A67C43">
      <w:pPr>
        <w:pStyle w:val="BodyText"/>
      </w:pPr>
      <w:r>
        <w:t>When reporting your disclosure, you may wish to use th</w:t>
      </w:r>
      <w:r w:rsidR="000A7FC7">
        <w:t xml:space="preserve">e </w:t>
      </w:r>
      <w:hyperlink r:id="rId20" w:history="1">
        <w:r w:rsidR="008F1E5A">
          <w:rPr>
            <w:rStyle w:val="Hyperlink"/>
          </w:rPr>
          <w:t>Whistleblower Report Form</w:t>
        </w:r>
      </w:hyperlink>
      <w:r>
        <w:t xml:space="preserve"> to assist in providing the appropriate details. </w:t>
      </w:r>
    </w:p>
    <w:p w14:paraId="72AC698D" w14:textId="306EE6F1" w:rsidR="00A67C43" w:rsidRDefault="18B90905" w:rsidP="00A67C43">
      <w:pPr>
        <w:pStyle w:val="BodyText"/>
      </w:pPr>
      <w:r>
        <w:t>When making a disclosure, be aware that:</w:t>
      </w:r>
    </w:p>
    <w:p w14:paraId="5B5A345E" w14:textId="74C22D61" w:rsidR="00A67C43" w:rsidRDefault="00A67C43" w:rsidP="00A67C43">
      <w:pPr>
        <w:pStyle w:val="ListBullet0"/>
        <w:numPr>
          <w:ilvl w:val="0"/>
          <w:numId w:val="2"/>
        </w:numPr>
      </w:pPr>
      <w:r>
        <w:t xml:space="preserve">You may choose to be anonymous. For more details on this, see below under the heading </w:t>
      </w:r>
      <w:r w:rsidRPr="00E5718A">
        <w:rPr>
          <w:i/>
        </w:rPr>
        <w:fldChar w:fldCharType="begin"/>
      </w:r>
      <w:r w:rsidRPr="00E5718A">
        <w:rPr>
          <w:i/>
        </w:rPr>
        <w:instrText xml:space="preserve"> REF _Ref25658905 \h </w:instrText>
      </w:r>
      <w:r>
        <w:rPr>
          <w:i/>
        </w:rPr>
        <w:instrText xml:space="preserve"> \* MERGEFORMAT </w:instrText>
      </w:r>
      <w:r w:rsidRPr="00E5718A">
        <w:rPr>
          <w:i/>
        </w:rPr>
      </w:r>
      <w:r w:rsidRPr="00E5718A">
        <w:rPr>
          <w:i/>
        </w:rPr>
        <w:fldChar w:fldCharType="separate"/>
      </w:r>
      <w:r w:rsidRPr="00A67C43">
        <w:rPr>
          <w:i/>
        </w:rPr>
        <w:t>Choosing to be anonymous</w:t>
      </w:r>
      <w:r w:rsidRPr="00E5718A">
        <w:rPr>
          <w:i/>
        </w:rPr>
        <w:fldChar w:fldCharType="end"/>
      </w:r>
      <w:r>
        <w:t>.</w:t>
      </w:r>
    </w:p>
    <w:p w14:paraId="2E97D497" w14:textId="57FE88A1" w:rsidR="00A67C43" w:rsidRDefault="00A67C43" w:rsidP="00A67C43">
      <w:pPr>
        <w:pStyle w:val="ListBullet0"/>
        <w:numPr>
          <w:ilvl w:val="0"/>
          <w:numId w:val="2"/>
        </w:numPr>
      </w:pPr>
      <w:r>
        <w:t xml:space="preserve">If there is an emergency in the sense of substantial and imminent danger to the health and safety of one or more persons or the natural environment, you may choose to make the disclosure immediately to a member of parliament (Federal or State) or a journalist. For more details, see below under the heading </w:t>
      </w:r>
      <w:r w:rsidRPr="18EF3FFB">
        <w:fldChar w:fldCharType="begin"/>
      </w:r>
      <w:r w:rsidRPr="00E5718A">
        <w:rPr>
          <w:i/>
        </w:rPr>
        <w:instrText xml:space="preserve"> REF _Ref19177404 \h </w:instrText>
      </w:r>
      <w:r>
        <w:rPr>
          <w:i/>
        </w:rPr>
        <w:instrText xml:space="preserve"> \* MERGEFORMAT </w:instrText>
      </w:r>
      <w:r w:rsidRPr="18EF3FFB">
        <w:rPr>
          <w:i/>
        </w:rPr>
        <w:fldChar w:fldCharType="separate"/>
      </w:r>
      <w:r w:rsidRPr="00A67C43">
        <w:rPr>
          <w:i/>
          <w:iCs/>
        </w:rPr>
        <w:t>Emergency or public interest disclosure</w:t>
      </w:r>
      <w:r w:rsidRPr="18EF3FFB">
        <w:fldChar w:fldCharType="end"/>
      </w:r>
      <w:r>
        <w:t>.</w:t>
      </w:r>
    </w:p>
    <w:p w14:paraId="11C3618D" w14:textId="52308FAC" w:rsidR="00A67C43" w:rsidRDefault="72050642" w:rsidP="00A67C43">
      <w:pPr>
        <w:pStyle w:val="ListBullet0"/>
        <w:numPr>
          <w:ilvl w:val="0"/>
          <w:numId w:val="2"/>
        </w:numPr>
      </w:pPr>
      <w:r>
        <w:t xml:space="preserve">If the disclosure is a work-related </w:t>
      </w:r>
      <w:r w:rsidR="00B64AA6">
        <w:t>grievance,</w:t>
      </w:r>
      <w:r>
        <w:t xml:space="preserve"> you should contact your manager or the </w:t>
      </w:r>
      <w:r w:rsidR="516D01A1">
        <w:t xml:space="preserve">People and Performance </w:t>
      </w:r>
      <w:r>
        <w:t>Manager. While these matters will be treated in confidence, they are generally not covered by whistleblower protection. For more details, see below under the heading</w:t>
      </w:r>
      <w:r w:rsidRPr="378C741D">
        <w:rPr>
          <w:i/>
          <w:iCs/>
        </w:rPr>
        <w:t xml:space="preserve"> </w:t>
      </w:r>
      <w:r w:rsidR="00A67C43" w:rsidRPr="378C741D">
        <w:rPr>
          <w:i/>
          <w:iCs/>
        </w:rPr>
        <w:fldChar w:fldCharType="begin"/>
      </w:r>
      <w:r w:rsidR="00A67C43" w:rsidRPr="378C741D">
        <w:rPr>
          <w:i/>
          <w:iCs/>
        </w:rPr>
        <w:instrText xml:space="preserve"> REF _Ref19177430 \h  \* MERGEFORMAT </w:instrText>
      </w:r>
      <w:r w:rsidR="00A67C43" w:rsidRPr="378C741D">
        <w:rPr>
          <w:i/>
          <w:iCs/>
        </w:rPr>
      </w:r>
      <w:r w:rsidR="00A67C43" w:rsidRPr="378C741D">
        <w:rPr>
          <w:i/>
          <w:iCs/>
        </w:rPr>
        <w:fldChar w:fldCharType="separate"/>
      </w:r>
      <w:r w:rsidRPr="378C741D">
        <w:rPr>
          <w:i/>
          <w:iCs/>
        </w:rPr>
        <w:t>Personal work-related grievances</w:t>
      </w:r>
      <w:r w:rsidR="00A67C43" w:rsidRPr="378C741D">
        <w:rPr>
          <w:i/>
          <w:iCs/>
        </w:rPr>
        <w:fldChar w:fldCharType="end"/>
      </w:r>
      <w:r>
        <w:t>.</w:t>
      </w:r>
    </w:p>
    <w:p w14:paraId="0F8216A6" w14:textId="77777777" w:rsidR="00A67C43" w:rsidRDefault="00A67C43" w:rsidP="00A67C43">
      <w:pPr>
        <w:pStyle w:val="ListBullet0"/>
        <w:numPr>
          <w:ilvl w:val="0"/>
          <w:numId w:val="2"/>
        </w:numPr>
        <w:rPr>
          <w:color w:val="000000" w:themeColor="text1"/>
        </w:rPr>
      </w:pPr>
      <w:r w:rsidRPr="5091A86F">
        <w:t>If you are unsure what to do, you can contact a legal practitioner for advice.</w:t>
      </w:r>
    </w:p>
    <w:p w14:paraId="0CAB892B" w14:textId="02A50565" w:rsidR="00A67C43" w:rsidRDefault="00A67C43" w:rsidP="00A67C43">
      <w:pPr>
        <w:pStyle w:val="ListBullet0"/>
        <w:numPr>
          <w:ilvl w:val="0"/>
          <w:numId w:val="2"/>
        </w:numPr>
      </w:pPr>
      <w:r>
        <w:t>If your disclosure proves to be incorrect, you will still be protected provided that when you made</w:t>
      </w:r>
      <w:r w:rsidR="00975901">
        <w:t xml:space="preserve"> the disclo</w:t>
      </w:r>
      <w:r w:rsidR="00EF0BAB">
        <w:t>sure</w:t>
      </w:r>
      <w:r>
        <w:t xml:space="preserve"> you had reasonable grounds to suspect that it was true. Protection may only be withheld if you deliberately make a disclosure that you know to be false.</w:t>
      </w:r>
    </w:p>
    <w:p w14:paraId="2BB9E634" w14:textId="281A1AF9" w:rsidR="00A67C43" w:rsidRDefault="00A67C43" w:rsidP="66C27F25">
      <w:pPr>
        <w:pStyle w:val="AltHeading3"/>
      </w:pPr>
      <w:bookmarkStart w:id="13" w:name="_Ref25658905"/>
      <w:bookmarkStart w:id="14" w:name="_Toc27063583"/>
      <w:bookmarkStart w:id="15" w:name="_Toc40775789"/>
      <w:r>
        <w:t>Choosing to be anonymous</w:t>
      </w:r>
      <w:bookmarkEnd w:id="13"/>
      <w:bookmarkEnd w:id="14"/>
      <w:bookmarkEnd w:id="15"/>
    </w:p>
    <w:p w14:paraId="15C1197B" w14:textId="77777777" w:rsidR="00A67C43" w:rsidRDefault="00A67C43" w:rsidP="00A67C43">
      <w:pPr>
        <w:pStyle w:val="BodyText"/>
      </w:pPr>
      <w:r>
        <w:t>You can make your disclosure anonymously, remain anonymous over the course of the investigation and after it is finalised, and still be protected. If you choose to do this, you may also:</w:t>
      </w:r>
    </w:p>
    <w:p w14:paraId="2BFB4D31" w14:textId="77777777" w:rsidR="00A67C43" w:rsidRDefault="00A67C43" w:rsidP="00A67C43">
      <w:pPr>
        <w:pStyle w:val="ListBullet0"/>
        <w:numPr>
          <w:ilvl w:val="0"/>
          <w:numId w:val="2"/>
        </w:numPr>
      </w:pPr>
      <w:r>
        <w:t>adopt a pseudonym for the purposes of communication</w:t>
      </w:r>
    </w:p>
    <w:p w14:paraId="62CD0B8B" w14:textId="77777777" w:rsidR="00A67C43" w:rsidRDefault="00A67C43" w:rsidP="00A67C43">
      <w:pPr>
        <w:pStyle w:val="ListBullet0"/>
        <w:numPr>
          <w:ilvl w:val="0"/>
          <w:numId w:val="2"/>
        </w:numPr>
      </w:pPr>
      <w:r>
        <w:t>refuse to answer any follow-up questions that may reveal your identity</w:t>
      </w:r>
    </w:p>
    <w:p w14:paraId="6F40BCEB" w14:textId="77777777" w:rsidR="00A67C43" w:rsidRDefault="00A67C43" w:rsidP="00A67C43">
      <w:pPr>
        <w:pStyle w:val="BodyText"/>
      </w:pPr>
      <w:r>
        <w:t>If you choose anonymity, it is preferable that you establish a means by which you can be contacted for follow up questions and to receive progress notifications. If you do not, it may limit the capacity of the investigators to verify the facts and conclude the investigation satisfactorily or in reasonable time.</w:t>
      </w:r>
    </w:p>
    <w:p w14:paraId="219C7304" w14:textId="3098C561" w:rsidR="00A67C43" w:rsidRPr="005B0839" w:rsidRDefault="00A67C43" w:rsidP="00A67C43">
      <w:pPr>
        <w:pStyle w:val="AltHeading3"/>
      </w:pPr>
      <w:bookmarkStart w:id="16" w:name="_Ref19177404"/>
      <w:bookmarkStart w:id="17" w:name="_Toc27063584"/>
      <w:bookmarkStart w:id="18" w:name="_Toc40775790"/>
      <w:r>
        <w:t>Emergency or public interest disclosure</w:t>
      </w:r>
      <w:bookmarkEnd w:id="16"/>
      <w:bookmarkEnd w:id="17"/>
      <w:bookmarkEnd w:id="18"/>
    </w:p>
    <w:p w14:paraId="09F52CCF" w14:textId="77777777" w:rsidR="00A67C43" w:rsidRDefault="00A67C43" w:rsidP="00A67C43">
      <w:pPr>
        <w:pStyle w:val="BodyText"/>
      </w:pPr>
      <w:r>
        <w:t>If the disclosure relates to a matter which you reasonably believe is in the public interest, or presents an imminent danger to people’s health or safety, or to the natural environment, you may choose to make the disclosure directly to a member of Federal or State parliament or a journalist and still be protected, subject to the following:</w:t>
      </w:r>
    </w:p>
    <w:p w14:paraId="1DC4B833" w14:textId="77777777" w:rsidR="00A67C43" w:rsidRDefault="00A67C43" w:rsidP="00A67C43">
      <w:pPr>
        <w:pStyle w:val="ListBullet0"/>
        <w:numPr>
          <w:ilvl w:val="0"/>
          <w:numId w:val="2"/>
        </w:numPr>
      </w:pPr>
      <w:r>
        <w:t>you have previously made a disclosure of the information to ASIC, APRA or a prescribed body</w:t>
      </w:r>
    </w:p>
    <w:p w14:paraId="1EDB3C72" w14:textId="77777777" w:rsidR="00A67C43" w:rsidRDefault="00A67C43" w:rsidP="00A67C43">
      <w:pPr>
        <w:pStyle w:val="ListBullet0"/>
        <w:numPr>
          <w:ilvl w:val="0"/>
          <w:numId w:val="2"/>
        </w:numPr>
      </w:pPr>
      <w:r w:rsidRPr="1C792A14">
        <w:t>you have provided written notice of that disclosure</w:t>
      </w:r>
    </w:p>
    <w:p w14:paraId="5BAA9291" w14:textId="77777777" w:rsidR="00A67C43" w:rsidRDefault="00A67C43" w:rsidP="00A67C43">
      <w:pPr>
        <w:pStyle w:val="ListBullet0"/>
        <w:numPr>
          <w:ilvl w:val="0"/>
          <w:numId w:val="2"/>
        </w:numPr>
      </w:pPr>
      <w:r>
        <w:t>in the case of a public interest disclosure, at least 90 days has passed since it was made</w:t>
      </w:r>
    </w:p>
    <w:p w14:paraId="39C5A483" w14:textId="6D62F756" w:rsidR="00A67C43" w:rsidRDefault="00A67C43" w:rsidP="00A67C43">
      <w:pPr>
        <w:pStyle w:val="BodyText"/>
      </w:pPr>
      <w:r>
        <w:t xml:space="preserve">For more details on the criteria for making these further disclosures, see section </w:t>
      </w:r>
      <w:hyperlink r:id="rId21">
        <w:r w:rsidRPr="1C792A14">
          <w:rPr>
            <w:rStyle w:val="Hyperlink"/>
          </w:rPr>
          <w:t>1317AAD</w:t>
        </w:r>
      </w:hyperlink>
      <w:r>
        <w:t xml:space="preserve"> of the Corporations Act.</w:t>
      </w:r>
    </w:p>
    <w:p w14:paraId="6E44F547" w14:textId="77777777" w:rsidR="00A67C43" w:rsidRPr="00414AD5" w:rsidRDefault="00A67C43" w:rsidP="00A67C43">
      <w:pPr>
        <w:pStyle w:val="AltHeading2"/>
      </w:pPr>
      <w:bookmarkStart w:id="19" w:name="_Ref19177430"/>
      <w:bookmarkStart w:id="20" w:name="_Toc27063585"/>
      <w:bookmarkStart w:id="21" w:name="_Toc40775791"/>
      <w:r>
        <w:t>Personal work-related grievances</w:t>
      </w:r>
      <w:bookmarkEnd w:id="19"/>
      <w:bookmarkEnd w:id="20"/>
      <w:bookmarkEnd w:id="21"/>
    </w:p>
    <w:p w14:paraId="66828DC4" w14:textId="77777777" w:rsidR="00A67C43" w:rsidRDefault="00A67C43" w:rsidP="00A67C43">
      <w:pPr>
        <w:pStyle w:val="BodyText"/>
      </w:pPr>
      <w:r>
        <w:t xml:space="preserve">If the matter that you wish to disclose is </w:t>
      </w:r>
      <w:r w:rsidRPr="18EF3FFB">
        <w:rPr>
          <w:i/>
          <w:iCs/>
        </w:rPr>
        <w:t>solely</w:t>
      </w:r>
      <w:r>
        <w:t xml:space="preserve"> a personal work-related grievance, it is unlikely to qualify for whistleblower protection. Examples of personal grievances given in the Corporations Act include:</w:t>
      </w:r>
    </w:p>
    <w:p w14:paraId="3985847A" w14:textId="77777777" w:rsidR="00A67C43" w:rsidRDefault="00A67C43" w:rsidP="00A67C43">
      <w:pPr>
        <w:pStyle w:val="ListBullet0"/>
        <w:numPr>
          <w:ilvl w:val="0"/>
          <w:numId w:val="2"/>
        </w:numPr>
      </w:pPr>
      <w:r>
        <w:t>an interpersonal conflict between you and another employee</w:t>
      </w:r>
    </w:p>
    <w:p w14:paraId="523801DA" w14:textId="77777777" w:rsidR="00A67C43" w:rsidRDefault="00A67C43" w:rsidP="00A67C43">
      <w:pPr>
        <w:pStyle w:val="ListBullet0"/>
        <w:numPr>
          <w:ilvl w:val="0"/>
          <w:numId w:val="2"/>
        </w:numPr>
      </w:pPr>
      <w:r>
        <w:t>a decision relating to your engagement, transfer or promotion</w:t>
      </w:r>
    </w:p>
    <w:p w14:paraId="49ABF79D" w14:textId="77777777" w:rsidR="00A67C43" w:rsidRDefault="00A67C43" w:rsidP="00A67C43">
      <w:pPr>
        <w:pStyle w:val="ListBullet0"/>
        <w:numPr>
          <w:ilvl w:val="0"/>
          <w:numId w:val="2"/>
        </w:numPr>
      </w:pPr>
      <w:r>
        <w:t>a decision relating to the terms and conditions of your engagement</w:t>
      </w:r>
    </w:p>
    <w:p w14:paraId="65471FB2" w14:textId="77777777" w:rsidR="00A67C43" w:rsidRDefault="00A67C43" w:rsidP="00A67C43">
      <w:pPr>
        <w:pStyle w:val="ListBullet0"/>
        <w:numPr>
          <w:ilvl w:val="0"/>
          <w:numId w:val="2"/>
        </w:numPr>
      </w:pPr>
      <w:r>
        <w:t>a decision to suspend or terminate your engagement, or otherwise discipline you</w:t>
      </w:r>
    </w:p>
    <w:p w14:paraId="7497CB73" w14:textId="03D3733E" w:rsidR="00A67C43" w:rsidRDefault="00A67C43" w:rsidP="00A67C43">
      <w:pPr>
        <w:pStyle w:val="BodyText"/>
      </w:pPr>
      <w:r>
        <w:t xml:space="preserve">If you have such a grievance, you are encouraged to raise it with your immediate manager or the </w:t>
      </w:r>
      <w:hyperlink r:id="rId22">
        <w:r w:rsidR="00975901">
          <w:rPr>
            <w:rStyle w:val="Hyperlink"/>
          </w:rPr>
          <w:t>People and Performance Manager</w:t>
        </w:r>
      </w:hyperlink>
      <w:r>
        <w:t>.</w:t>
      </w:r>
    </w:p>
    <w:p w14:paraId="7E64E82B" w14:textId="77777777" w:rsidR="00A67C43" w:rsidRDefault="00A67C43" w:rsidP="00A67C43">
      <w:pPr>
        <w:pStyle w:val="BodyText"/>
      </w:pPr>
      <w:r>
        <w:t>However, a personal work-related grievance may qualify for protection if:</w:t>
      </w:r>
    </w:p>
    <w:p w14:paraId="002BC152" w14:textId="77777777" w:rsidR="00A67C43" w:rsidRDefault="00A67C43" w:rsidP="00A67C43">
      <w:pPr>
        <w:pStyle w:val="ListBullet0"/>
        <w:numPr>
          <w:ilvl w:val="0"/>
          <w:numId w:val="2"/>
        </w:numPr>
      </w:pPr>
      <w:r>
        <w:t>it includes information about misconduct</w:t>
      </w:r>
    </w:p>
    <w:p w14:paraId="29A41878" w14:textId="77777777" w:rsidR="00A67C43" w:rsidRDefault="00A67C43" w:rsidP="00A67C43">
      <w:pPr>
        <w:pStyle w:val="ListBullet0"/>
        <w:numPr>
          <w:ilvl w:val="0"/>
          <w:numId w:val="2"/>
        </w:numPr>
      </w:pPr>
      <w:r>
        <w:t>employment or other laws have been breached</w:t>
      </w:r>
    </w:p>
    <w:p w14:paraId="174B777C" w14:textId="77777777" w:rsidR="00A67C43" w:rsidRDefault="00A67C43" w:rsidP="00A67C43">
      <w:pPr>
        <w:pStyle w:val="ListBullet0"/>
        <w:numPr>
          <w:ilvl w:val="0"/>
          <w:numId w:val="2"/>
        </w:numPr>
      </w:pPr>
      <w:r>
        <w:t>you suffer from or have been threatened with a detriment for disclosing</w:t>
      </w:r>
    </w:p>
    <w:p w14:paraId="45338146" w14:textId="77777777" w:rsidR="00A67C43" w:rsidRDefault="00A67C43" w:rsidP="00A67C43">
      <w:pPr>
        <w:pStyle w:val="ListBullet0"/>
        <w:numPr>
          <w:ilvl w:val="0"/>
          <w:numId w:val="2"/>
        </w:numPr>
      </w:pPr>
      <w:r>
        <w:t>you seek legal advice or representation on whistleblower protections</w:t>
      </w:r>
    </w:p>
    <w:p w14:paraId="63F3413B" w14:textId="29D8941D" w:rsidR="00A67C43" w:rsidRPr="00A67C43" w:rsidRDefault="00A67C43" w:rsidP="001811FC">
      <w:pPr>
        <w:pStyle w:val="AltHeading2"/>
        <w:rPr>
          <w:b/>
        </w:rPr>
      </w:pPr>
      <w:bookmarkStart w:id="22" w:name="_Toc27063586"/>
      <w:bookmarkStart w:id="23" w:name="_Toc40775792"/>
      <w:r w:rsidRPr="00A67C43">
        <w:t>How you are protected by law</w:t>
      </w:r>
      <w:bookmarkEnd w:id="22"/>
      <w:bookmarkEnd w:id="23"/>
    </w:p>
    <w:p w14:paraId="061A565E" w14:textId="06661741" w:rsidR="00A67C43" w:rsidRDefault="00A67C43" w:rsidP="00A67C43">
      <w:pPr>
        <w:pStyle w:val="BodyText"/>
      </w:pPr>
      <w:r>
        <w:t xml:space="preserve">Under the </w:t>
      </w:r>
      <w:hyperlink r:id="rId23" w:anchor="_Toc13835864">
        <w:r w:rsidRPr="181CA3FE">
          <w:rPr>
            <w:rStyle w:val="Hyperlink"/>
          </w:rPr>
          <w:t>Corporations Act 2001 Part 9.4AAA</w:t>
        </w:r>
      </w:hyperlink>
      <w:r>
        <w:t>, you will qualify for protection:</w:t>
      </w:r>
    </w:p>
    <w:p w14:paraId="3B701723" w14:textId="54C8B7B2" w:rsidR="00A67C43" w:rsidRDefault="00A67C43" w:rsidP="0204BCC3">
      <w:pPr>
        <w:pStyle w:val="ListBullet0"/>
        <w:numPr>
          <w:ilvl w:val="0"/>
          <w:numId w:val="2"/>
        </w:numPr>
        <w:rPr>
          <w:i/>
          <w:iCs/>
        </w:rPr>
      </w:pPr>
      <w:r>
        <w:t xml:space="preserve">if you are an eligible whistleblower (see </w:t>
      </w:r>
      <w:r w:rsidRPr="0204BCC3">
        <w:rPr>
          <w:i/>
          <w:iCs/>
        </w:rPr>
        <w:t>Who can make a disclosure?),</w:t>
      </w:r>
    </w:p>
    <w:p w14:paraId="56345C06" w14:textId="77777777" w:rsidR="00A67C43" w:rsidRDefault="00A67C43" w:rsidP="00A67C43">
      <w:pPr>
        <w:pStyle w:val="ListBullet0"/>
        <w:numPr>
          <w:ilvl w:val="0"/>
          <w:numId w:val="2"/>
        </w:numPr>
      </w:pPr>
      <w:r w:rsidRPr="3122A52F">
        <w:t xml:space="preserve">and make a disclosure about a disclosable matter (see </w:t>
      </w:r>
      <w:r w:rsidRPr="3122A52F">
        <w:rPr>
          <w:i/>
          <w:iCs/>
        </w:rPr>
        <w:t>What matters may be reported?),</w:t>
      </w:r>
    </w:p>
    <w:p w14:paraId="31BB48DE" w14:textId="2CE2B92D" w:rsidR="00A67C43" w:rsidRDefault="00A67C43" w:rsidP="0204BCC3">
      <w:pPr>
        <w:pStyle w:val="ListBullet0"/>
        <w:numPr>
          <w:ilvl w:val="0"/>
          <w:numId w:val="2"/>
        </w:numPr>
        <w:rPr>
          <w:i/>
          <w:iCs/>
        </w:rPr>
      </w:pPr>
      <w:r>
        <w:t xml:space="preserve">to an eligible recipient (see </w:t>
      </w:r>
      <w:r w:rsidRPr="0204BCC3">
        <w:rPr>
          <w:i/>
          <w:iCs/>
        </w:rPr>
        <w:t>Who can receive your disclosure?).</w:t>
      </w:r>
    </w:p>
    <w:p w14:paraId="78E73BB2" w14:textId="77777777" w:rsidR="00A67C43" w:rsidRDefault="00A67C43" w:rsidP="00A67C43">
      <w:pPr>
        <w:pStyle w:val="BodyText"/>
      </w:pPr>
      <w:r>
        <w:t>The protections available to you for making a disclosure which qualifies for protection include:</w:t>
      </w:r>
    </w:p>
    <w:p w14:paraId="59EA0DB4" w14:textId="77777777" w:rsidR="00A67C43" w:rsidRDefault="00A67C43" w:rsidP="00A67C43">
      <w:pPr>
        <w:pStyle w:val="ListBullet0"/>
        <w:numPr>
          <w:ilvl w:val="0"/>
          <w:numId w:val="2"/>
        </w:numPr>
      </w:pPr>
      <w:r>
        <w:t>our legal obligation to keep your identity confidential</w:t>
      </w:r>
    </w:p>
    <w:p w14:paraId="031C9DEB" w14:textId="77777777" w:rsidR="00A67C43" w:rsidRDefault="00A67C43" w:rsidP="00A67C43">
      <w:pPr>
        <w:pStyle w:val="ListBullet0"/>
        <w:numPr>
          <w:ilvl w:val="0"/>
          <w:numId w:val="2"/>
        </w:numPr>
      </w:pPr>
      <w:r>
        <w:t>identity protection (subject to particular exceptions, e.g. with your consent)</w:t>
      </w:r>
    </w:p>
    <w:p w14:paraId="7BE2E695" w14:textId="77777777" w:rsidR="00A67C43" w:rsidRDefault="00A67C43" w:rsidP="00A67C43">
      <w:pPr>
        <w:pStyle w:val="ListBullet0"/>
        <w:numPr>
          <w:ilvl w:val="0"/>
          <w:numId w:val="2"/>
        </w:numPr>
      </w:pPr>
      <w:r>
        <w:t xml:space="preserve">protection from detrimental acts or omissions (refer </w:t>
      </w:r>
      <w:r w:rsidRPr="181CA3FE">
        <w:rPr>
          <w:i/>
          <w:iCs/>
        </w:rPr>
        <w:t xml:space="preserve">Support and practical protection measures </w:t>
      </w:r>
      <w:r>
        <w:t>below)</w:t>
      </w:r>
    </w:p>
    <w:p w14:paraId="4AB4D466" w14:textId="77777777" w:rsidR="00A67C43" w:rsidRDefault="00A67C43" w:rsidP="00A67C43">
      <w:pPr>
        <w:pStyle w:val="ListBullet0"/>
        <w:numPr>
          <w:ilvl w:val="0"/>
          <w:numId w:val="2"/>
        </w:numPr>
      </w:pPr>
      <w:r>
        <w:t>your right to seek compensation and other remedies (you may wish to seek independent legal advice before doing so)</w:t>
      </w:r>
    </w:p>
    <w:p w14:paraId="1645179C" w14:textId="77777777" w:rsidR="00A67C43" w:rsidRDefault="00A67C43" w:rsidP="00A67C43">
      <w:pPr>
        <w:pStyle w:val="ListBullet0"/>
        <w:numPr>
          <w:ilvl w:val="0"/>
          <w:numId w:val="2"/>
        </w:numPr>
      </w:pPr>
      <w:r>
        <w:t>civil, criminal and administrative liability protection (note that this does not grant immunity for your misconduct which may be revealed in your disclosure)</w:t>
      </w:r>
    </w:p>
    <w:p w14:paraId="73A78B3E" w14:textId="77777777" w:rsidR="00A67C43" w:rsidRDefault="00A67C43" w:rsidP="00A67C43">
      <w:pPr>
        <w:pStyle w:val="BodyText"/>
      </w:pPr>
      <w:r>
        <w:t xml:space="preserve">Even if your disclosure turns out to be incorrect, if you had reasonable grounds to make the disclosure, you may still qualify for protection. </w:t>
      </w:r>
    </w:p>
    <w:p w14:paraId="7D95C5FA" w14:textId="77777777" w:rsidR="00A67C43" w:rsidRPr="00A67C43" w:rsidRDefault="00A67C43" w:rsidP="001811FC">
      <w:pPr>
        <w:pStyle w:val="AltHeading2"/>
        <w:rPr>
          <w:b/>
        </w:rPr>
      </w:pPr>
      <w:bookmarkStart w:id="24" w:name="_Toc27063587"/>
      <w:bookmarkStart w:id="25" w:name="_Toc40775793"/>
      <w:r w:rsidRPr="00A67C43">
        <w:t>Support and practical protection measures</w:t>
      </w:r>
      <w:bookmarkEnd w:id="24"/>
      <w:bookmarkEnd w:id="25"/>
    </w:p>
    <w:p w14:paraId="75D8FCC8" w14:textId="5537DF60" w:rsidR="00A67C43" w:rsidRDefault="00A67C43" w:rsidP="00A67C43">
      <w:pPr>
        <w:pStyle w:val="BodyText"/>
      </w:pPr>
      <w:r>
        <w:t xml:space="preserve">The </w:t>
      </w:r>
      <w:r w:rsidR="00EF0BAB">
        <w:t>WPO</w:t>
      </w:r>
      <w:r>
        <w:t xml:space="preserve"> and those involved in handling the investigation of your disclosure are responsible for preventing detrimental actions being taken against you as a result of your disclosure. Example of actions to be prevented are:</w:t>
      </w:r>
    </w:p>
    <w:p w14:paraId="20667354" w14:textId="77777777" w:rsidR="00A67C43" w:rsidRDefault="00A67C43" w:rsidP="00A67C43">
      <w:pPr>
        <w:pStyle w:val="ListBullet0"/>
        <w:numPr>
          <w:ilvl w:val="0"/>
          <w:numId w:val="2"/>
        </w:numPr>
      </w:pPr>
      <w:r>
        <w:t>dismissal</w:t>
      </w:r>
    </w:p>
    <w:p w14:paraId="15631BEF" w14:textId="77777777" w:rsidR="00A67C43" w:rsidRDefault="00A67C43" w:rsidP="00A67C43">
      <w:pPr>
        <w:pStyle w:val="ListBullet0"/>
        <w:numPr>
          <w:ilvl w:val="0"/>
          <w:numId w:val="2"/>
        </w:numPr>
      </w:pPr>
      <w:r>
        <w:t>injury in your employment</w:t>
      </w:r>
    </w:p>
    <w:p w14:paraId="16335F11" w14:textId="77777777" w:rsidR="00A67C43" w:rsidRDefault="00A67C43" w:rsidP="00A67C43">
      <w:pPr>
        <w:pStyle w:val="ListBullet0"/>
        <w:numPr>
          <w:ilvl w:val="0"/>
          <w:numId w:val="2"/>
        </w:numPr>
      </w:pPr>
      <w:r>
        <w:t>alterations to your position or duties that are to your disadvantage</w:t>
      </w:r>
    </w:p>
    <w:p w14:paraId="4BD2CE57" w14:textId="77777777" w:rsidR="00A67C43" w:rsidRDefault="00A67C43" w:rsidP="00A67C43">
      <w:pPr>
        <w:pStyle w:val="ListBullet0"/>
        <w:numPr>
          <w:ilvl w:val="0"/>
          <w:numId w:val="2"/>
        </w:numPr>
      </w:pPr>
      <w:r>
        <w:t>termination of contracts, either internal (e.g. contractors) or external (e.g. suppliers)</w:t>
      </w:r>
    </w:p>
    <w:p w14:paraId="7142BE2A" w14:textId="77777777" w:rsidR="00A67C43" w:rsidRDefault="00A67C43" w:rsidP="00A67C43">
      <w:pPr>
        <w:pStyle w:val="ListBullet0"/>
        <w:numPr>
          <w:ilvl w:val="0"/>
          <w:numId w:val="2"/>
        </w:numPr>
      </w:pPr>
      <w:r>
        <w:t>discrimination between you and another employee</w:t>
      </w:r>
    </w:p>
    <w:p w14:paraId="288633F1" w14:textId="77777777" w:rsidR="00A67C43" w:rsidRDefault="00A67C43" w:rsidP="00A67C43">
      <w:pPr>
        <w:pStyle w:val="ListBullet0"/>
        <w:numPr>
          <w:ilvl w:val="0"/>
          <w:numId w:val="2"/>
        </w:numPr>
      </w:pPr>
      <w:r>
        <w:t>victimisation, harassment or intimidation</w:t>
      </w:r>
    </w:p>
    <w:p w14:paraId="3F836092" w14:textId="77777777" w:rsidR="00A67C43" w:rsidRDefault="00A67C43" w:rsidP="00A67C43">
      <w:pPr>
        <w:pStyle w:val="ListBullet0"/>
        <w:numPr>
          <w:ilvl w:val="0"/>
          <w:numId w:val="2"/>
        </w:numPr>
      </w:pPr>
      <w:r>
        <w:t>harm or injury, including psychological harm</w:t>
      </w:r>
    </w:p>
    <w:p w14:paraId="2E1C8779" w14:textId="77777777" w:rsidR="00A67C43" w:rsidRDefault="00A67C43" w:rsidP="00A67C43">
      <w:pPr>
        <w:pStyle w:val="ListBullet0"/>
        <w:numPr>
          <w:ilvl w:val="0"/>
          <w:numId w:val="2"/>
        </w:numPr>
      </w:pPr>
      <w:r>
        <w:t>damage to your property or reputation</w:t>
      </w:r>
    </w:p>
    <w:p w14:paraId="1785FCE9" w14:textId="77777777" w:rsidR="00A67C43" w:rsidRDefault="00A67C43" w:rsidP="00A67C43">
      <w:pPr>
        <w:pStyle w:val="ListBullet0"/>
        <w:numPr>
          <w:ilvl w:val="0"/>
          <w:numId w:val="2"/>
        </w:numPr>
      </w:pPr>
      <w:r>
        <w:t>damage to your business or financial position (for suppliers)</w:t>
      </w:r>
    </w:p>
    <w:p w14:paraId="0A4422DB" w14:textId="59825DF6" w:rsidR="00A67C43" w:rsidRDefault="00A67C43" w:rsidP="00A67C43">
      <w:pPr>
        <w:pStyle w:val="ListBullet0"/>
        <w:numPr>
          <w:ilvl w:val="0"/>
          <w:numId w:val="2"/>
        </w:numPr>
      </w:pPr>
      <w:r>
        <w:t>any other related damage</w:t>
      </w:r>
      <w:bookmarkEnd w:id="10"/>
    </w:p>
    <w:p w14:paraId="72F9E57A" w14:textId="27873009" w:rsidR="00A67C43" w:rsidRDefault="00A67C43" w:rsidP="00A67C43">
      <w:pPr>
        <w:pStyle w:val="AltHeading3"/>
      </w:pPr>
      <w:bookmarkStart w:id="26" w:name="_Toc27063588"/>
      <w:bookmarkStart w:id="27" w:name="_Toc40775794"/>
      <w:r>
        <w:t>Causing or threatening to cause detriment</w:t>
      </w:r>
      <w:bookmarkEnd w:id="26"/>
      <w:bookmarkEnd w:id="27"/>
    </w:p>
    <w:p w14:paraId="77E562D1" w14:textId="5B813885" w:rsidR="00A67C43" w:rsidRDefault="00A67C43" w:rsidP="00A67C43">
      <w:pPr>
        <w:pStyle w:val="BodyText"/>
      </w:pPr>
      <w:r w:rsidRPr="1C792A14">
        <w:t xml:space="preserve">A person cannot engage in or threaten to engage in detrimental conduct against a person who has made a </w:t>
      </w:r>
      <w:r w:rsidR="00176BCF" w:rsidRPr="1C792A14">
        <w:t>disclosure or</w:t>
      </w:r>
      <w:r w:rsidRPr="1C792A14">
        <w:t xml:space="preserve"> is believed or suspected to have made or be planning to make a disclosure.</w:t>
      </w:r>
    </w:p>
    <w:p w14:paraId="360CE28A" w14:textId="77777777" w:rsidR="00A67C43" w:rsidRDefault="00A67C43" w:rsidP="00A67C43">
      <w:pPr>
        <w:pStyle w:val="BodyText"/>
      </w:pPr>
      <w:r>
        <w:t xml:space="preserve">In relation to a disclosure, a person cannot cause detriment, or make a threat to cause detriment to a discloser (or other person).  A threat may be express or implied, or conditional or unconditional. </w:t>
      </w:r>
    </w:p>
    <w:p w14:paraId="275B904A" w14:textId="2E203A77" w:rsidR="00A67C43" w:rsidRDefault="00A67C43" w:rsidP="00A67C43">
      <w:pPr>
        <w:pStyle w:val="BodyText"/>
      </w:pPr>
      <w:r w:rsidRPr="5E9C1AE3">
        <w:t xml:space="preserve">If you are threatened with or subjected to detrimental action, immediately contact the </w:t>
      </w:r>
      <w:r w:rsidR="00EF0BAB">
        <w:t>WPO</w:t>
      </w:r>
      <w:r w:rsidRPr="5E9C1AE3">
        <w:t>, who has the authority to intervene and:</w:t>
      </w:r>
    </w:p>
    <w:p w14:paraId="7EBB3DA5" w14:textId="77777777" w:rsidR="00A67C43" w:rsidRDefault="00A67C43" w:rsidP="00A67C43">
      <w:pPr>
        <w:pStyle w:val="ListBullet0"/>
        <w:numPr>
          <w:ilvl w:val="0"/>
          <w:numId w:val="2"/>
        </w:numPr>
        <w:rPr>
          <w:color w:val="000000" w:themeColor="text1"/>
        </w:rPr>
      </w:pPr>
      <w:r w:rsidRPr="5E9C1AE3">
        <w:t>prevent any or further detrimental action occurring</w:t>
      </w:r>
    </w:p>
    <w:p w14:paraId="7038F02E" w14:textId="77777777" w:rsidR="00A67C43" w:rsidRDefault="00A67C43" w:rsidP="00A67C43">
      <w:pPr>
        <w:pStyle w:val="ListBullet0"/>
        <w:numPr>
          <w:ilvl w:val="0"/>
          <w:numId w:val="2"/>
        </w:numPr>
        <w:rPr>
          <w:color w:val="000000" w:themeColor="text1"/>
        </w:rPr>
      </w:pPr>
      <w:r w:rsidRPr="5E9C1AE3">
        <w:t>take remedial action</w:t>
      </w:r>
    </w:p>
    <w:p w14:paraId="5362FDAF" w14:textId="77777777" w:rsidR="00A67C43" w:rsidRDefault="00A67C43" w:rsidP="00A67C43">
      <w:pPr>
        <w:pStyle w:val="ListBullet0"/>
        <w:numPr>
          <w:ilvl w:val="0"/>
          <w:numId w:val="2"/>
        </w:numPr>
        <w:rPr>
          <w:color w:val="000000" w:themeColor="text1"/>
        </w:rPr>
      </w:pPr>
      <w:r w:rsidRPr="5E9C1AE3">
        <w:t>if appropriate, seek approval for compensation or other remedies on your behalf</w:t>
      </w:r>
    </w:p>
    <w:p w14:paraId="17AB0ED9" w14:textId="52336AE9" w:rsidR="00A67C43" w:rsidRDefault="00A67C43" w:rsidP="00A67C43">
      <w:pPr>
        <w:pStyle w:val="BodyText"/>
      </w:pPr>
      <w:r w:rsidRPr="5E9C1AE3">
        <w:t xml:space="preserve">Any employee who victimises or threatens a whistleblower has engaged in serious misconduct and is subject to the </w:t>
      </w:r>
      <w:hyperlink r:id="rId24">
        <w:r w:rsidRPr="5E9C1AE3">
          <w:rPr>
            <w:rStyle w:val="Hyperlink"/>
          </w:rPr>
          <w:t>Performance and Misconduct Policy</w:t>
        </w:r>
      </w:hyperlink>
      <w:r w:rsidRPr="5E9C1AE3">
        <w:t>.</w:t>
      </w:r>
    </w:p>
    <w:p w14:paraId="1865605E" w14:textId="77777777" w:rsidR="00A67C43" w:rsidRDefault="00A67C43" w:rsidP="00A67C43">
      <w:pPr>
        <w:pStyle w:val="BodyText"/>
        <w:rPr>
          <w:color w:val="FF0000"/>
        </w:rPr>
      </w:pPr>
      <w:r>
        <w:t>Some actions, however, may not be considered detrimental. An example is managing unsatisfactory work performance in line with our performance management framework.</w:t>
      </w:r>
    </w:p>
    <w:p w14:paraId="042EBF35" w14:textId="77777777" w:rsidR="00A67C43" w:rsidRDefault="00A67C43" w:rsidP="00A67C43">
      <w:pPr>
        <w:pStyle w:val="AltHeading3"/>
      </w:pPr>
      <w:bookmarkStart w:id="28" w:name="_Toc27063589"/>
      <w:bookmarkStart w:id="29" w:name="_Toc40775795"/>
      <w:r>
        <w:t>Preventing detriment and providing support</w:t>
      </w:r>
      <w:bookmarkEnd w:id="28"/>
      <w:bookmarkEnd w:id="29"/>
    </w:p>
    <w:p w14:paraId="106A0B8E" w14:textId="77777777" w:rsidR="00A67C43" w:rsidRDefault="00A67C43" w:rsidP="00A67C43">
      <w:pPr>
        <w:pStyle w:val="BodyText"/>
      </w:pPr>
      <w:r>
        <w:t>We will implement measures or mechanisms to prevent detriment, as appropriate to the circumstances. Examples of actions we may take are:</w:t>
      </w:r>
    </w:p>
    <w:p w14:paraId="4F49FC02" w14:textId="77777777" w:rsidR="00A67C43" w:rsidRDefault="00A67C43" w:rsidP="00A67C43">
      <w:pPr>
        <w:pStyle w:val="ListBullet0"/>
        <w:numPr>
          <w:ilvl w:val="0"/>
          <w:numId w:val="2"/>
        </w:numPr>
      </w:pPr>
      <w:r>
        <w:t>reducing the risk of you being identified by redacting your personal information</w:t>
      </w:r>
    </w:p>
    <w:p w14:paraId="6455C61F" w14:textId="77777777" w:rsidR="00A67C43" w:rsidRDefault="00A67C43" w:rsidP="00A67C43">
      <w:pPr>
        <w:pStyle w:val="ListBullet0"/>
        <w:numPr>
          <w:ilvl w:val="0"/>
          <w:numId w:val="2"/>
        </w:numPr>
      </w:pPr>
      <w:r>
        <w:t>storing securely all paper and electronic documents and other materials relating to disclosures</w:t>
      </w:r>
    </w:p>
    <w:p w14:paraId="499E7498" w14:textId="77777777" w:rsidR="00A67C43" w:rsidRDefault="00A67C43" w:rsidP="00A67C43">
      <w:pPr>
        <w:pStyle w:val="ListBullet0"/>
        <w:numPr>
          <w:ilvl w:val="0"/>
          <w:numId w:val="2"/>
        </w:numPr>
      </w:pPr>
      <w:r>
        <w:t>reminding each person who is involved in handling and investigating a disclosure that unauthorised disclosure of your identity may be a criminal offence</w:t>
      </w:r>
    </w:p>
    <w:p w14:paraId="5EEBC32F" w14:textId="77777777" w:rsidR="00A67C43" w:rsidRDefault="00A67C43" w:rsidP="00A67C43">
      <w:pPr>
        <w:pStyle w:val="ListBullet0"/>
        <w:numPr>
          <w:ilvl w:val="0"/>
          <w:numId w:val="2"/>
        </w:numPr>
      </w:pPr>
      <w:r>
        <w:t>assessing the risk of detriment to you as soon as possible after receiving your disclosure</w:t>
      </w:r>
    </w:p>
    <w:p w14:paraId="15ABC55B" w14:textId="77777777" w:rsidR="00A67C43" w:rsidRDefault="00A67C43" w:rsidP="00A67C43">
      <w:pPr>
        <w:pStyle w:val="ListBullet0"/>
        <w:numPr>
          <w:ilvl w:val="0"/>
          <w:numId w:val="2"/>
        </w:numPr>
      </w:pPr>
      <w:r>
        <w:t>making available support services (e.g. counselling or legal services)</w:t>
      </w:r>
    </w:p>
    <w:p w14:paraId="79BF0162" w14:textId="77777777" w:rsidR="00A67C43" w:rsidRDefault="00A67C43" w:rsidP="00A67C43">
      <w:pPr>
        <w:pStyle w:val="BodyText"/>
      </w:pPr>
      <w:r>
        <w:t>If you make a disclosure, it is illegal for a person to identify you or disclose information that may identify you (subject to certain exceptions).  If your confidentiality is breached, you may lodge a complaint with us.  You may also lodge a complaint with a regulator such as ASIC, APRA or the ATO, for investigation.</w:t>
      </w:r>
    </w:p>
    <w:p w14:paraId="2FA4F7D3" w14:textId="77777777" w:rsidR="00A67C43" w:rsidRDefault="00A67C43" w:rsidP="00A67C43">
      <w:pPr>
        <w:pStyle w:val="BodyText"/>
      </w:pPr>
      <w:r>
        <w:t xml:space="preserve">If you believe you have suffered a detriment, you may seek independent legal advice or contact regulatory bodies such as ASIC, APRA, or the ATO.  If the detriment has already occurred, we may intervene to investigate and address the detrimental conduct. </w:t>
      </w:r>
    </w:p>
    <w:p w14:paraId="66C430CB" w14:textId="77777777" w:rsidR="00A67C43" w:rsidRDefault="00A67C43" w:rsidP="00A67C43">
      <w:pPr>
        <w:pStyle w:val="BodyText"/>
      </w:pPr>
      <w:r>
        <w:t>If we assess that your disclosure requires investigation, we cannot disclose information that is likely to lead to your identification without your consent. The only information that can be shared is that which:</w:t>
      </w:r>
    </w:p>
    <w:p w14:paraId="0F90BF1B" w14:textId="77777777" w:rsidR="00A67C43" w:rsidRDefault="00A67C43" w:rsidP="00A67C43">
      <w:pPr>
        <w:pStyle w:val="ListBullet0"/>
        <w:numPr>
          <w:ilvl w:val="0"/>
          <w:numId w:val="2"/>
        </w:numPr>
      </w:pPr>
      <w:r>
        <w:t>does not disclose your identity</w:t>
      </w:r>
    </w:p>
    <w:p w14:paraId="3F001CBD" w14:textId="77777777" w:rsidR="00A67C43" w:rsidRDefault="00A67C43" w:rsidP="00A67C43">
      <w:pPr>
        <w:pStyle w:val="ListBullet0"/>
        <w:numPr>
          <w:ilvl w:val="0"/>
          <w:numId w:val="2"/>
        </w:numPr>
      </w:pPr>
      <w:r>
        <w:t>has had information removed that may lead to you being identified</w:t>
      </w:r>
    </w:p>
    <w:p w14:paraId="025B65C4" w14:textId="77777777" w:rsidR="00A67C43" w:rsidRDefault="00A67C43" w:rsidP="00A67C43">
      <w:pPr>
        <w:pStyle w:val="ListBullet0"/>
        <w:numPr>
          <w:ilvl w:val="0"/>
          <w:numId w:val="2"/>
        </w:numPr>
      </w:pPr>
      <w:r>
        <w:t xml:space="preserve">is reasonably necessary for the investigation and is communicated on a strict ‘need to know’ basis  </w:t>
      </w:r>
    </w:p>
    <w:p w14:paraId="075BC149" w14:textId="2F695CFD" w:rsidR="00A67C43" w:rsidRDefault="00A67C43" w:rsidP="00A67C43">
      <w:pPr>
        <w:pStyle w:val="AltHeading2"/>
      </w:pPr>
      <w:bookmarkStart w:id="30" w:name="_Toc27063590"/>
      <w:bookmarkStart w:id="31" w:name="_Toc40775796"/>
      <w:r>
        <w:t>After you make a disclosure</w:t>
      </w:r>
      <w:bookmarkEnd w:id="30"/>
      <w:bookmarkEnd w:id="31"/>
    </w:p>
    <w:p w14:paraId="6612C006" w14:textId="77777777" w:rsidR="00A67C43" w:rsidRPr="007B592C" w:rsidRDefault="00A67C43" w:rsidP="00A67C43">
      <w:pPr>
        <w:pStyle w:val="BodyText"/>
      </w:pPr>
      <w:r>
        <w:t>After a disclosure is made, the following is a summary of the steps that will be taken:</w:t>
      </w:r>
    </w:p>
    <w:p w14:paraId="785D80FB" w14:textId="77777777" w:rsidR="00A67C43" w:rsidRPr="007B592C" w:rsidRDefault="00A67C43" w:rsidP="00A67C43">
      <w:pPr>
        <w:pStyle w:val="ListBullet0"/>
        <w:numPr>
          <w:ilvl w:val="0"/>
          <w:numId w:val="2"/>
        </w:numPr>
        <w:rPr>
          <w:color w:val="000000" w:themeColor="text1"/>
        </w:rPr>
      </w:pPr>
      <w:r w:rsidRPr="1C792A14">
        <w:t>Your identity (if disclosed) will be kept strictly confidential and will only be made known to those conducting or overseeing the follow-up action to the disclosure.</w:t>
      </w:r>
    </w:p>
    <w:p w14:paraId="362A13CC" w14:textId="46695999" w:rsidR="00A67C43" w:rsidRPr="007B592C" w:rsidRDefault="00A67C43" w:rsidP="00A67C43">
      <w:pPr>
        <w:pStyle w:val="ListBullet0"/>
        <w:numPr>
          <w:ilvl w:val="0"/>
          <w:numId w:val="2"/>
        </w:numPr>
        <w:rPr>
          <w:color w:val="000000" w:themeColor="text1"/>
        </w:rPr>
      </w:pPr>
      <w:r>
        <w:t>Any information that may indirectly identify you will also be kept strictly confidential. If you think that confidentiality has been compromised and your identity has become known, contact the WPO.</w:t>
      </w:r>
    </w:p>
    <w:p w14:paraId="07464145" w14:textId="1C5203E7" w:rsidR="00A67C43" w:rsidRDefault="18B90905" w:rsidP="00A67C43">
      <w:pPr>
        <w:pStyle w:val="ListBullet0"/>
        <w:numPr>
          <w:ilvl w:val="0"/>
          <w:numId w:val="2"/>
        </w:numPr>
        <w:rPr>
          <w:color w:val="000000" w:themeColor="text1"/>
        </w:rPr>
      </w:pPr>
      <w:r>
        <w:t>The disclosure will be assessed to determine if an investigation will go ahead. If not, you will be contacted, and the reasons given for not proceeding.</w:t>
      </w:r>
    </w:p>
    <w:p w14:paraId="2D42A479" w14:textId="1B86466A" w:rsidR="00A67C43" w:rsidRDefault="5A2E44A2" w:rsidP="5C983775">
      <w:pPr>
        <w:pStyle w:val="ListBullet0"/>
        <w:numPr>
          <w:ilvl w:val="0"/>
          <w:numId w:val="2"/>
        </w:numPr>
        <w:rPr>
          <w:color w:val="000000" w:themeColor="text1"/>
        </w:rPr>
      </w:pPr>
      <w:r>
        <w:t xml:space="preserve">If it is determined that the disclosure is to be assessed, a Whistleblower Investigation Officer (WIO) will be appointed.  Within 48 hours of their </w:t>
      </w:r>
      <w:r w:rsidR="000E5602">
        <w:t>appointment,</w:t>
      </w:r>
      <w:r>
        <w:t xml:space="preserve"> they will assess the nature and scope of the investigation and the resources required to undertake it.  They will then investigate the disclosure using appropriate resources, including professional investigators</w:t>
      </w:r>
      <w:r w:rsidR="00A67C43" w:rsidRPr="5C983775">
        <w:rPr>
          <w:rStyle w:val="FootnoteReference"/>
        </w:rPr>
        <w:footnoteReference w:id="2"/>
      </w:r>
      <w:r>
        <w:t xml:space="preserve"> if necessary.</w:t>
      </w:r>
    </w:p>
    <w:p w14:paraId="65FD103B" w14:textId="134BBC78" w:rsidR="00A67C43" w:rsidRDefault="36586DA1" w:rsidP="010DB0A9">
      <w:pPr>
        <w:pStyle w:val="ListBullet0"/>
        <w:numPr>
          <w:ilvl w:val="0"/>
          <w:numId w:val="2"/>
        </w:numPr>
        <w:rPr>
          <w:color w:val="000000" w:themeColor="text1"/>
        </w:rPr>
      </w:pPr>
      <w:r>
        <w:t xml:space="preserve">The WIO will endeavour to provide you with an estimate of how long the investigation process may take, but the duration of an investigation will vary depending on the nature and complexity of the disclosure and the amount of information available.  </w:t>
      </w:r>
    </w:p>
    <w:p w14:paraId="70AC7678" w14:textId="5EA6E01A" w:rsidR="00A67C43" w:rsidRDefault="18B90905" w:rsidP="00A67C43">
      <w:pPr>
        <w:pStyle w:val="ListBullet0"/>
        <w:numPr>
          <w:ilvl w:val="0"/>
          <w:numId w:val="2"/>
        </w:numPr>
        <w:rPr>
          <w:color w:val="000000" w:themeColor="text1"/>
        </w:rPr>
      </w:pPr>
      <w:r>
        <w:t>You may be asked follow-up questions to help with the investigation.</w:t>
      </w:r>
    </w:p>
    <w:p w14:paraId="2349C27F" w14:textId="77777777" w:rsidR="00A67C43" w:rsidRDefault="00A67C43" w:rsidP="00A67C43">
      <w:pPr>
        <w:pStyle w:val="ListBullet0"/>
        <w:numPr>
          <w:ilvl w:val="0"/>
          <w:numId w:val="2"/>
        </w:numPr>
        <w:rPr>
          <w:color w:val="000000" w:themeColor="text1"/>
        </w:rPr>
      </w:pPr>
      <w:r w:rsidRPr="1C792A14">
        <w:t>All information relating to the investigation will be kept strictly confidential, including the identity of any persons named in the disclosure (to satisfy procedural fairness).</w:t>
      </w:r>
    </w:p>
    <w:p w14:paraId="5FB74100" w14:textId="77777777" w:rsidR="00A67C43" w:rsidRDefault="00A67C43" w:rsidP="00A67C43">
      <w:pPr>
        <w:pStyle w:val="ListBullet0"/>
        <w:numPr>
          <w:ilvl w:val="0"/>
          <w:numId w:val="2"/>
        </w:numPr>
        <w:rPr>
          <w:color w:val="000000" w:themeColor="text1"/>
        </w:rPr>
      </w:pPr>
      <w:r w:rsidRPr="1C792A14">
        <w:t>You will be kept informed of the progress of the investigation at regular intervals, including likely timeframes.</w:t>
      </w:r>
    </w:p>
    <w:p w14:paraId="1445860D" w14:textId="77777777" w:rsidR="00A67C43" w:rsidRPr="008065D1" w:rsidRDefault="72050642" w:rsidP="5C983775">
      <w:pPr>
        <w:pStyle w:val="ListBullet0"/>
        <w:numPr>
          <w:ilvl w:val="0"/>
          <w:numId w:val="2"/>
        </w:numPr>
        <w:rPr>
          <w:color w:val="000000" w:themeColor="text1"/>
        </w:rPr>
      </w:pPr>
      <w:r>
        <w:t>When the investigation is concluded, a report will be completed. This will be assessed, and decisions made on further action. Where appropriate, you will be informed of the report’s findings.</w:t>
      </w:r>
    </w:p>
    <w:p w14:paraId="0F3F2849" w14:textId="22C6AD5F" w:rsidR="00A67C43" w:rsidRDefault="010DB0A9" w:rsidP="00305984">
      <w:pPr>
        <w:pStyle w:val="AltHeading1"/>
        <w:rPr>
          <w:rFonts w:ascii="Calibri Light" w:eastAsia="Calibri Light" w:hAnsi="Calibri Light" w:cs="Calibri Light"/>
          <w:b w:val="0"/>
          <w:bCs/>
          <w:color w:val="000000" w:themeColor="text1"/>
        </w:rPr>
      </w:pPr>
      <w:r w:rsidRPr="010DB0A9">
        <w:rPr>
          <w:rFonts w:ascii="Calibri Light" w:eastAsia="Calibri Light" w:hAnsi="Calibri Light" w:cs="Calibri Light"/>
          <w:bCs/>
          <w:color w:val="000000" w:themeColor="text1"/>
        </w:rPr>
        <w:t>Ensuring fair treatment</w:t>
      </w:r>
    </w:p>
    <w:p w14:paraId="4FB1B59E" w14:textId="7F3AF016" w:rsidR="00A67C43" w:rsidRDefault="010DB0A9" w:rsidP="010DB0A9">
      <w:pPr>
        <w:spacing w:after="100"/>
        <w:rPr>
          <w:rFonts w:ascii="Calibri" w:eastAsia="Calibri" w:hAnsi="Calibri" w:cs="Calibri"/>
          <w:color w:val="000000" w:themeColor="text1"/>
        </w:rPr>
      </w:pPr>
      <w:r w:rsidRPr="010DB0A9">
        <w:rPr>
          <w:rFonts w:ascii="Calibri" w:eastAsia="Calibri" w:hAnsi="Calibri" w:cs="Calibri"/>
          <w:color w:val="000000" w:themeColor="text1"/>
        </w:rPr>
        <w:t>To ensure fair treatment of individuals mentioned in any disclosure:</w:t>
      </w:r>
    </w:p>
    <w:p w14:paraId="57927B44" w14:textId="75ADBAF7" w:rsidR="00A67C43" w:rsidRDefault="010DB0A9" w:rsidP="00305984">
      <w:pPr>
        <w:pStyle w:val="ListBullet0"/>
        <w:rPr>
          <w:rFonts w:eastAsiaTheme="minorEastAsia"/>
          <w:color w:val="000000" w:themeColor="text1"/>
        </w:rPr>
      </w:pPr>
      <w:r w:rsidRPr="010DB0A9">
        <w:rPr>
          <w:rFonts w:ascii="Calibri" w:eastAsia="Calibri" w:hAnsi="Calibri" w:cs="Calibri"/>
          <w:color w:val="000000" w:themeColor="text1"/>
        </w:rPr>
        <w:t>Disclosures will be handled confidentially, when practical and appropriate to the circumstances</w:t>
      </w:r>
    </w:p>
    <w:p w14:paraId="42121C24" w14:textId="63596905" w:rsidR="00A67C43" w:rsidRDefault="010DB0A9" w:rsidP="00305984">
      <w:pPr>
        <w:pStyle w:val="ListBullet0"/>
        <w:rPr>
          <w:rFonts w:eastAsiaTheme="minorEastAsia"/>
          <w:color w:val="000000" w:themeColor="text1"/>
        </w:rPr>
      </w:pPr>
      <w:r w:rsidRPr="010DB0A9">
        <w:rPr>
          <w:rFonts w:ascii="Calibri" w:eastAsia="Calibri" w:hAnsi="Calibri" w:cs="Calibri"/>
          <w:color w:val="000000" w:themeColor="text1"/>
        </w:rPr>
        <w:t>Each disclosure will be assessed and may be investigated, to determine if there is evidence to substantiate or refute the matters reported</w:t>
      </w:r>
    </w:p>
    <w:p w14:paraId="224C1746" w14:textId="12E17562" w:rsidR="00A67C43" w:rsidRDefault="010DB0A9" w:rsidP="00305984">
      <w:pPr>
        <w:pStyle w:val="ListBullet0"/>
        <w:rPr>
          <w:rFonts w:eastAsiaTheme="minorEastAsia"/>
          <w:color w:val="000000" w:themeColor="text1"/>
        </w:rPr>
      </w:pPr>
      <w:r w:rsidRPr="010DB0A9">
        <w:rPr>
          <w:rFonts w:ascii="Calibri" w:eastAsia="Calibri" w:hAnsi="Calibri" w:cs="Calibri"/>
          <w:color w:val="000000" w:themeColor="text1"/>
        </w:rPr>
        <w:t>Any investigation process will be objective, fair and independent</w:t>
      </w:r>
    </w:p>
    <w:p w14:paraId="4873F16A" w14:textId="5FAC87C0" w:rsidR="00A67C43" w:rsidRDefault="010DB0A9" w:rsidP="00305984">
      <w:pPr>
        <w:pStyle w:val="ListBullet0"/>
        <w:rPr>
          <w:rFonts w:eastAsiaTheme="minorEastAsia"/>
          <w:color w:val="000000" w:themeColor="text1"/>
        </w:rPr>
      </w:pPr>
      <w:r w:rsidRPr="010DB0A9">
        <w:rPr>
          <w:rFonts w:ascii="Calibri" w:eastAsia="Calibri" w:hAnsi="Calibri" w:cs="Calibri"/>
          <w:color w:val="000000" w:themeColor="text1"/>
        </w:rPr>
        <w:t>If you are the subject of a disclosure:</w:t>
      </w:r>
    </w:p>
    <w:p w14:paraId="70AF58DE" w14:textId="232E5D8A" w:rsidR="00A67C43" w:rsidRDefault="010DB0A9" w:rsidP="00305984">
      <w:pPr>
        <w:pStyle w:val="ListBullet2"/>
        <w:rPr>
          <w:rFonts w:eastAsiaTheme="minorEastAsia"/>
          <w:color w:val="000000" w:themeColor="text1"/>
        </w:rPr>
      </w:pPr>
      <w:r w:rsidRPr="010DB0A9">
        <w:rPr>
          <w:rFonts w:ascii="Calibri" w:eastAsia="Calibri" w:hAnsi="Calibri" w:cs="Calibri"/>
          <w:color w:val="000000" w:themeColor="text1"/>
        </w:rPr>
        <w:t>you will be advised of the disclosure subject matter as and when required for natural justice and procedural fairness and prior to any actions being taken, e.g. an investigation (unless we reasonably believe this will compromise the effectiveness of the investigation)</w:t>
      </w:r>
    </w:p>
    <w:p w14:paraId="0C280D37" w14:textId="32011FAA" w:rsidR="00A67C43" w:rsidRDefault="010DB0A9">
      <w:pPr>
        <w:pStyle w:val="ListBullet2"/>
        <w:rPr>
          <w:rFonts w:eastAsiaTheme="minorEastAsia"/>
          <w:color w:val="000000" w:themeColor="text1"/>
        </w:rPr>
      </w:pPr>
      <w:r w:rsidRPr="010DB0A9">
        <w:rPr>
          <w:rFonts w:ascii="Calibri" w:eastAsia="Calibri" w:hAnsi="Calibri" w:cs="Calibri"/>
          <w:color w:val="000000" w:themeColor="text1"/>
        </w:rPr>
        <w:t>you will be advised of the investigation prior to any adverse findings being made against you</w:t>
      </w:r>
    </w:p>
    <w:p w14:paraId="43A5D64D" w14:textId="0CCFBF4E" w:rsidR="00A67C43" w:rsidRDefault="010DB0A9">
      <w:pPr>
        <w:pStyle w:val="ListBullet2"/>
        <w:rPr>
          <w:rFonts w:eastAsiaTheme="minorEastAsia"/>
          <w:color w:val="000000" w:themeColor="text1"/>
        </w:rPr>
      </w:pPr>
      <w:r w:rsidRPr="010DB0A9">
        <w:rPr>
          <w:rFonts w:ascii="Calibri" w:eastAsia="Calibri" w:hAnsi="Calibri" w:cs="Calibri"/>
          <w:color w:val="000000" w:themeColor="text1"/>
        </w:rPr>
        <w:t xml:space="preserve">you may contact our </w:t>
      </w:r>
      <w:hyperlink r:id="rId25" w:anchor="search=EAP" w:history="1">
        <w:r w:rsidRPr="010DB0A9">
          <w:rPr>
            <w:rStyle w:val="Hyperlink"/>
            <w:rFonts w:ascii="Calibri" w:eastAsia="Calibri" w:hAnsi="Calibri" w:cs="Calibri"/>
          </w:rPr>
          <w:t>support services</w:t>
        </w:r>
      </w:hyperlink>
    </w:p>
    <w:p w14:paraId="4A346D86" w14:textId="11034BE6" w:rsidR="00A67C43" w:rsidRDefault="18B90905" w:rsidP="010DB0A9">
      <w:pPr>
        <w:pStyle w:val="AltHeading2"/>
      </w:pPr>
      <w:bookmarkStart w:id="32" w:name="_Toc27063591"/>
      <w:bookmarkStart w:id="33" w:name="_Toc40775797"/>
      <w:r>
        <w:t>Review of decisions</w:t>
      </w:r>
      <w:bookmarkEnd w:id="32"/>
      <w:bookmarkEnd w:id="33"/>
    </w:p>
    <w:p w14:paraId="585A8E7C" w14:textId="77777777" w:rsidR="00A67C43" w:rsidRDefault="00A67C43" w:rsidP="00A67C43">
      <w:pPr>
        <w:pStyle w:val="BodyText"/>
      </w:pPr>
      <w:r>
        <w:t xml:space="preserve">If you are not satisfied with the outcome of our investigation, you may request a review through the WPO. However, we are not obliged to reopen an investigation and we may conclude a review if we believe the investigation was conducted properly, or new information is either not available, or if available, would not change the findings of the investigation. </w:t>
      </w:r>
    </w:p>
    <w:p w14:paraId="25191EF7" w14:textId="2BD77647" w:rsidR="00A67C43" w:rsidRPr="00746E85" w:rsidRDefault="00A67C43" w:rsidP="00A67C43">
      <w:pPr>
        <w:pStyle w:val="BodyText"/>
      </w:pPr>
      <w:r>
        <w:t xml:space="preserve">You may also lodge a complaint with a regulator such as ASIC, APRA or the ATO if you are not satisfied with the outcome of our investigation. </w:t>
      </w:r>
    </w:p>
    <w:p w14:paraId="18D42F4D" w14:textId="497B881E" w:rsidR="00DD76D2" w:rsidRDefault="008E76D9" w:rsidP="008E76D9">
      <w:pPr>
        <w:pStyle w:val="AltHeading2"/>
      </w:pPr>
      <w:r>
        <w:t>Acknowledgement</w:t>
      </w:r>
    </w:p>
    <w:p w14:paraId="2321C47C" w14:textId="5B4A024C" w:rsidR="008E76D9" w:rsidRDefault="008E76D9" w:rsidP="008E76D9">
      <w:pPr>
        <w:pStyle w:val="BodyText"/>
      </w:pPr>
      <w:r>
        <w:t xml:space="preserve">Click </w:t>
      </w:r>
      <w:hyperlink r:id="rId26" w:history="1">
        <w:r w:rsidRPr="008E76D9">
          <w:rPr>
            <w:rStyle w:val="Hyperlink"/>
          </w:rPr>
          <w:t>here</w:t>
        </w:r>
      </w:hyperlink>
      <w:r>
        <w:t xml:space="preserve"> to acknowledge that you have read and will adhere to this policy.</w:t>
      </w:r>
    </w:p>
    <w:p w14:paraId="5433D0EC" w14:textId="77777777" w:rsidR="00697F8C" w:rsidRDefault="00697F8C" w:rsidP="00697F8C">
      <w:pPr>
        <w:pStyle w:val="AltHeading1"/>
        <w:rPr>
          <w:sz w:val="16"/>
        </w:rPr>
      </w:pPr>
      <w:r>
        <w:t>Version History</w:t>
      </w:r>
    </w:p>
    <w:tbl>
      <w:tblPr>
        <w:tblStyle w:val="TableGrid"/>
        <w:tblW w:w="9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firstRow="1" w:lastRow="0" w:firstColumn="1" w:lastColumn="0" w:noHBand="0" w:noVBand="1"/>
      </w:tblPr>
      <w:tblGrid>
        <w:gridCol w:w="1038"/>
        <w:gridCol w:w="1631"/>
        <w:gridCol w:w="2151"/>
        <w:gridCol w:w="2989"/>
        <w:gridCol w:w="1256"/>
      </w:tblGrid>
      <w:tr w:rsidR="00697F8C" w14:paraId="5D79AB45" w14:textId="77777777" w:rsidTr="00697F8C">
        <w:trPr>
          <w:cantSplit/>
          <w:tblHeader/>
        </w:trPr>
        <w:tc>
          <w:tcPr>
            <w:tcW w:w="1038" w:type="dxa"/>
            <w:tcBorders>
              <w:top w:val="single" w:sz="4" w:space="0" w:color="auto"/>
              <w:left w:val="single" w:sz="4" w:space="0" w:color="auto"/>
              <w:bottom w:val="single" w:sz="4" w:space="0" w:color="auto"/>
              <w:right w:val="single" w:sz="4" w:space="0" w:color="auto"/>
            </w:tcBorders>
            <w:shd w:val="clear" w:color="auto" w:fill="00A59B"/>
            <w:hideMark/>
          </w:tcPr>
          <w:p w14:paraId="62E2D9B4" w14:textId="77777777" w:rsidR="00697F8C" w:rsidRDefault="00697F8C">
            <w:pPr>
              <w:pStyle w:val="TableHeading"/>
              <w:rPr>
                <w:color w:val="FFFFFF" w:themeColor="background1"/>
              </w:rPr>
            </w:pPr>
            <w:r>
              <w:rPr>
                <w:color w:val="FFFFFF" w:themeColor="background1"/>
              </w:rPr>
              <w:t>Version</w:t>
            </w:r>
          </w:p>
        </w:tc>
        <w:tc>
          <w:tcPr>
            <w:tcW w:w="1631" w:type="dxa"/>
            <w:tcBorders>
              <w:top w:val="single" w:sz="4" w:space="0" w:color="auto"/>
              <w:left w:val="single" w:sz="4" w:space="0" w:color="auto"/>
              <w:bottom w:val="single" w:sz="4" w:space="0" w:color="auto"/>
              <w:right w:val="single" w:sz="4" w:space="0" w:color="auto"/>
            </w:tcBorders>
            <w:shd w:val="clear" w:color="auto" w:fill="00A59B"/>
            <w:hideMark/>
          </w:tcPr>
          <w:p w14:paraId="33C6C4C7" w14:textId="77777777" w:rsidR="00697F8C" w:rsidRDefault="00697F8C">
            <w:pPr>
              <w:pStyle w:val="TableHeading"/>
              <w:rPr>
                <w:color w:val="FFFFFF" w:themeColor="background1"/>
              </w:rPr>
            </w:pPr>
            <w:r>
              <w:rPr>
                <w:color w:val="FFFFFF" w:themeColor="background1"/>
              </w:rPr>
              <w:t>Date</w:t>
            </w:r>
          </w:p>
        </w:tc>
        <w:tc>
          <w:tcPr>
            <w:tcW w:w="2151" w:type="dxa"/>
            <w:tcBorders>
              <w:top w:val="single" w:sz="4" w:space="0" w:color="auto"/>
              <w:left w:val="single" w:sz="4" w:space="0" w:color="auto"/>
              <w:bottom w:val="single" w:sz="4" w:space="0" w:color="auto"/>
              <w:right w:val="single" w:sz="4" w:space="0" w:color="auto"/>
            </w:tcBorders>
            <w:shd w:val="clear" w:color="auto" w:fill="00A59B"/>
            <w:hideMark/>
          </w:tcPr>
          <w:p w14:paraId="6B77DFD4" w14:textId="77777777" w:rsidR="00697F8C" w:rsidRDefault="00697F8C">
            <w:pPr>
              <w:pStyle w:val="TableHeading"/>
              <w:rPr>
                <w:color w:val="FFFFFF" w:themeColor="background1"/>
              </w:rPr>
            </w:pPr>
            <w:r>
              <w:rPr>
                <w:color w:val="FFFFFF" w:themeColor="background1"/>
              </w:rPr>
              <w:t>Endorsed By</w:t>
            </w:r>
          </w:p>
        </w:tc>
        <w:tc>
          <w:tcPr>
            <w:tcW w:w="2989" w:type="dxa"/>
            <w:tcBorders>
              <w:top w:val="single" w:sz="4" w:space="0" w:color="auto"/>
              <w:left w:val="single" w:sz="4" w:space="0" w:color="auto"/>
              <w:bottom w:val="single" w:sz="4" w:space="0" w:color="auto"/>
              <w:right w:val="single" w:sz="4" w:space="0" w:color="auto"/>
            </w:tcBorders>
            <w:shd w:val="clear" w:color="auto" w:fill="00A59B"/>
            <w:hideMark/>
          </w:tcPr>
          <w:p w14:paraId="70D2CA8A" w14:textId="77777777" w:rsidR="00697F8C" w:rsidRDefault="00697F8C">
            <w:pPr>
              <w:pStyle w:val="TableHeading"/>
              <w:rPr>
                <w:color w:val="FFFFFF" w:themeColor="background1"/>
              </w:rPr>
            </w:pPr>
            <w:r>
              <w:rPr>
                <w:color w:val="FFFFFF" w:themeColor="background1"/>
              </w:rPr>
              <w:t>Summary of Changes</w:t>
            </w:r>
          </w:p>
        </w:tc>
        <w:tc>
          <w:tcPr>
            <w:tcW w:w="1256" w:type="dxa"/>
            <w:tcBorders>
              <w:top w:val="single" w:sz="4" w:space="0" w:color="auto"/>
              <w:left w:val="single" w:sz="4" w:space="0" w:color="auto"/>
              <w:bottom w:val="single" w:sz="4" w:space="0" w:color="auto"/>
              <w:right w:val="single" w:sz="4" w:space="0" w:color="auto"/>
            </w:tcBorders>
            <w:shd w:val="clear" w:color="auto" w:fill="00A59B"/>
            <w:hideMark/>
          </w:tcPr>
          <w:p w14:paraId="61B0FA28" w14:textId="77777777" w:rsidR="00697F8C" w:rsidRDefault="00697F8C">
            <w:pPr>
              <w:pStyle w:val="TableHeading"/>
              <w:rPr>
                <w:color w:val="FFFFFF" w:themeColor="background1"/>
              </w:rPr>
            </w:pPr>
            <w:r>
              <w:rPr>
                <w:color w:val="FFFFFF" w:themeColor="background1"/>
              </w:rPr>
              <w:t>Author</w:t>
            </w:r>
          </w:p>
        </w:tc>
      </w:tr>
      <w:tr w:rsidR="00697F8C" w14:paraId="2375DD61" w14:textId="77777777" w:rsidTr="00697F8C">
        <w:tc>
          <w:tcPr>
            <w:tcW w:w="1038" w:type="dxa"/>
            <w:tcBorders>
              <w:top w:val="single" w:sz="4" w:space="0" w:color="auto"/>
              <w:left w:val="single" w:sz="4" w:space="0" w:color="auto"/>
              <w:bottom w:val="single" w:sz="4" w:space="0" w:color="auto"/>
              <w:right w:val="single" w:sz="4" w:space="0" w:color="auto"/>
            </w:tcBorders>
            <w:hideMark/>
          </w:tcPr>
          <w:p w14:paraId="1FAC4EA2" w14:textId="77777777" w:rsidR="00697F8C" w:rsidRDefault="00697F8C">
            <w:pPr>
              <w:pStyle w:val="TableText"/>
            </w:pPr>
            <w:r>
              <w:t>1.0</w:t>
            </w:r>
          </w:p>
        </w:tc>
        <w:tc>
          <w:tcPr>
            <w:tcW w:w="1631" w:type="dxa"/>
            <w:tcBorders>
              <w:top w:val="single" w:sz="4" w:space="0" w:color="auto"/>
              <w:left w:val="single" w:sz="4" w:space="0" w:color="auto"/>
              <w:bottom w:val="single" w:sz="4" w:space="0" w:color="auto"/>
              <w:right w:val="single" w:sz="4" w:space="0" w:color="auto"/>
            </w:tcBorders>
            <w:hideMark/>
          </w:tcPr>
          <w:p w14:paraId="30516B27" w14:textId="77777777" w:rsidR="00697F8C" w:rsidRDefault="00697F8C" w:rsidP="00697F8C">
            <w:pPr>
              <w:pStyle w:val="TableBullet"/>
              <w:numPr>
                <w:ilvl w:val="0"/>
                <w:numId w:val="0"/>
              </w:numPr>
              <w:tabs>
                <w:tab w:val="left" w:pos="720"/>
              </w:tabs>
            </w:pPr>
            <w:r>
              <w:t>Dec 2019</w:t>
            </w:r>
          </w:p>
        </w:tc>
        <w:tc>
          <w:tcPr>
            <w:tcW w:w="2151" w:type="dxa"/>
            <w:tcBorders>
              <w:top w:val="single" w:sz="4" w:space="0" w:color="auto"/>
              <w:left w:val="single" w:sz="4" w:space="0" w:color="auto"/>
              <w:bottom w:val="single" w:sz="4" w:space="0" w:color="auto"/>
              <w:right w:val="single" w:sz="4" w:space="0" w:color="auto"/>
            </w:tcBorders>
            <w:hideMark/>
          </w:tcPr>
          <w:p w14:paraId="3E8889E4" w14:textId="77777777" w:rsidR="00697F8C" w:rsidRDefault="00697F8C" w:rsidP="00697F8C">
            <w:pPr>
              <w:pStyle w:val="TableBullet"/>
              <w:numPr>
                <w:ilvl w:val="0"/>
                <w:numId w:val="27"/>
              </w:numPr>
              <w:ind w:left="113"/>
            </w:pPr>
            <w:r>
              <w:t>Board</w:t>
            </w:r>
          </w:p>
        </w:tc>
        <w:tc>
          <w:tcPr>
            <w:tcW w:w="2989" w:type="dxa"/>
            <w:tcBorders>
              <w:top w:val="single" w:sz="4" w:space="0" w:color="auto"/>
              <w:left w:val="single" w:sz="4" w:space="0" w:color="auto"/>
              <w:bottom w:val="single" w:sz="4" w:space="0" w:color="auto"/>
              <w:right w:val="single" w:sz="4" w:space="0" w:color="auto"/>
            </w:tcBorders>
            <w:hideMark/>
          </w:tcPr>
          <w:p w14:paraId="171EB7B0" w14:textId="77777777" w:rsidR="00697F8C" w:rsidRDefault="00697F8C" w:rsidP="00697F8C">
            <w:pPr>
              <w:pStyle w:val="TableBullet"/>
              <w:numPr>
                <w:ilvl w:val="0"/>
                <w:numId w:val="27"/>
              </w:numPr>
              <w:ind w:left="113"/>
            </w:pPr>
            <w:r>
              <w:t>Inaugural document</w:t>
            </w:r>
          </w:p>
        </w:tc>
        <w:tc>
          <w:tcPr>
            <w:tcW w:w="1256" w:type="dxa"/>
            <w:tcBorders>
              <w:top w:val="single" w:sz="4" w:space="0" w:color="auto"/>
              <w:left w:val="single" w:sz="4" w:space="0" w:color="auto"/>
              <w:bottom w:val="single" w:sz="4" w:space="0" w:color="auto"/>
              <w:right w:val="single" w:sz="4" w:space="0" w:color="auto"/>
            </w:tcBorders>
            <w:hideMark/>
          </w:tcPr>
          <w:p w14:paraId="107995D6" w14:textId="77777777" w:rsidR="00697F8C" w:rsidRDefault="00697F8C" w:rsidP="00697F8C">
            <w:pPr>
              <w:pStyle w:val="TableBullet"/>
              <w:numPr>
                <w:ilvl w:val="0"/>
                <w:numId w:val="27"/>
              </w:numPr>
              <w:ind w:left="113"/>
            </w:pPr>
            <w:r>
              <w:t>CSCO</w:t>
            </w:r>
          </w:p>
        </w:tc>
      </w:tr>
      <w:tr w:rsidR="00697F8C" w14:paraId="703D816E" w14:textId="77777777" w:rsidTr="00697F8C">
        <w:tc>
          <w:tcPr>
            <w:tcW w:w="1038" w:type="dxa"/>
            <w:tcBorders>
              <w:top w:val="single" w:sz="4" w:space="0" w:color="auto"/>
              <w:left w:val="single" w:sz="4" w:space="0" w:color="auto"/>
              <w:bottom w:val="single" w:sz="4" w:space="0" w:color="auto"/>
              <w:right w:val="single" w:sz="4" w:space="0" w:color="auto"/>
            </w:tcBorders>
            <w:hideMark/>
          </w:tcPr>
          <w:p w14:paraId="7BBA9346" w14:textId="77777777" w:rsidR="00697F8C" w:rsidRDefault="00697F8C">
            <w:pPr>
              <w:pStyle w:val="TableText"/>
            </w:pPr>
            <w:r>
              <w:t>1.1</w:t>
            </w:r>
          </w:p>
        </w:tc>
        <w:tc>
          <w:tcPr>
            <w:tcW w:w="1631" w:type="dxa"/>
            <w:tcBorders>
              <w:top w:val="single" w:sz="4" w:space="0" w:color="auto"/>
              <w:left w:val="single" w:sz="4" w:space="0" w:color="auto"/>
              <w:bottom w:val="single" w:sz="4" w:space="0" w:color="auto"/>
              <w:right w:val="single" w:sz="4" w:space="0" w:color="auto"/>
            </w:tcBorders>
            <w:hideMark/>
          </w:tcPr>
          <w:p w14:paraId="3FB0D7BF" w14:textId="77777777" w:rsidR="00697F8C" w:rsidRDefault="00697F8C">
            <w:pPr>
              <w:pStyle w:val="TableBullet"/>
              <w:numPr>
                <w:ilvl w:val="0"/>
                <w:numId w:val="0"/>
              </w:numPr>
              <w:tabs>
                <w:tab w:val="left" w:pos="720"/>
              </w:tabs>
            </w:pPr>
            <w:r>
              <w:t>Aug 2022</w:t>
            </w:r>
          </w:p>
        </w:tc>
        <w:tc>
          <w:tcPr>
            <w:tcW w:w="2151" w:type="dxa"/>
            <w:tcBorders>
              <w:top w:val="single" w:sz="4" w:space="0" w:color="auto"/>
              <w:left w:val="single" w:sz="4" w:space="0" w:color="auto"/>
              <w:bottom w:val="single" w:sz="4" w:space="0" w:color="auto"/>
              <w:right w:val="single" w:sz="4" w:space="0" w:color="auto"/>
            </w:tcBorders>
            <w:hideMark/>
          </w:tcPr>
          <w:p w14:paraId="7E5182D7" w14:textId="77777777" w:rsidR="00697F8C" w:rsidRDefault="00697F8C">
            <w:pPr>
              <w:pStyle w:val="TableBullet"/>
              <w:numPr>
                <w:ilvl w:val="0"/>
                <w:numId w:val="0"/>
              </w:numPr>
              <w:tabs>
                <w:tab w:val="left" w:pos="720"/>
              </w:tabs>
              <w:ind w:left="113"/>
            </w:pPr>
            <w:r>
              <w:t>Exec Team</w:t>
            </w:r>
          </w:p>
        </w:tc>
        <w:tc>
          <w:tcPr>
            <w:tcW w:w="2989" w:type="dxa"/>
            <w:tcBorders>
              <w:top w:val="single" w:sz="4" w:space="0" w:color="auto"/>
              <w:left w:val="single" w:sz="4" w:space="0" w:color="auto"/>
              <w:bottom w:val="single" w:sz="4" w:space="0" w:color="auto"/>
              <w:right w:val="single" w:sz="4" w:space="0" w:color="auto"/>
            </w:tcBorders>
            <w:hideMark/>
          </w:tcPr>
          <w:p w14:paraId="181564C0" w14:textId="77777777" w:rsidR="00697F8C" w:rsidRDefault="00697F8C">
            <w:pPr>
              <w:pStyle w:val="TableBullet"/>
              <w:numPr>
                <w:ilvl w:val="0"/>
                <w:numId w:val="0"/>
              </w:numPr>
              <w:tabs>
                <w:tab w:val="left" w:pos="720"/>
              </w:tabs>
              <w:ind w:left="113"/>
            </w:pPr>
            <w:r>
              <w:t>Numerous updates</w:t>
            </w:r>
          </w:p>
        </w:tc>
        <w:tc>
          <w:tcPr>
            <w:tcW w:w="1256" w:type="dxa"/>
            <w:tcBorders>
              <w:top w:val="single" w:sz="4" w:space="0" w:color="auto"/>
              <w:left w:val="single" w:sz="4" w:space="0" w:color="auto"/>
              <w:bottom w:val="single" w:sz="4" w:space="0" w:color="auto"/>
              <w:right w:val="single" w:sz="4" w:space="0" w:color="auto"/>
            </w:tcBorders>
            <w:hideMark/>
          </w:tcPr>
          <w:p w14:paraId="07C6C9EF" w14:textId="77777777" w:rsidR="00697F8C" w:rsidRDefault="00697F8C">
            <w:pPr>
              <w:pStyle w:val="TableBullet"/>
              <w:numPr>
                <w:ilvl w:val="0"/>
                <w:numId w:val="0"/>
              </w:numPr>
              <w:tabs>
                <w:tab w:val="left" w:pos="720"/>
              </w:tabs>
              <w:ind w:left="113"/>
            </w:pPr>
            <w:proofErr w:type="spellStart"/>
            <w:r>
              <w:t>CoSec</w:t>
            </w:r>
            <w:proofErr w:type="spellEnd"/>
          </w:p>
        </w:tc>
      </w:tr>
      <w:tr w:rsidR="00697F8C" w14:paraId="1BF4045A" w14:textId="77777777" w:rsidTr="00697F8C">
        <w:tc>
          <w:tcPr>
            <w:tcW w:w="1038" w:type="dxa"/>
            <w:tcBorders>
              <w:top w:val="single" w:sz="4" w:space="0" w:color="auto"/>
              <w:left w:val="single" w:sz="4" w:space="0" w:color="auto"/>
              <w:bottom w:val="single" w:sz="4" w:space="0" w:color="auto"/>
              <w:right w:val="single" w:sz="4" w:space="0" w:color="auto"/>
            </w:tcBorders>
            <w:hideMark/>
          </w:tcPr>
          <w:p w14:paraId="029B4E3A" w14:textId="77777777" w:rsidR="00697F8C" w:rsidRDefault="00697F8C">
            <w:pPr>
              <w:pStyle w:val="TableText"/>
            </w:pPr>
            <w:r>
              <w:t>1.2</w:t>
            </w:r>
          </w:p>
        </w:tc>
        <w:tc>
          <w:tcPr>
            <w:tcW w:w="1631" w:type="dxa"/>
            <w:tcBorders>
              <w:top w:val="single" w:sz="4" w:space="0" w:color="auto"/>
              <w:left w:val="single" w:sz="4" w:space="0" w:color="auto"/>
              <w:bottom w:val="single" w:sz="4" w:space="0" w:color="auto"/>
              <w:right w:val="single" w:sz="4" w:space="0" w:color="auto"/>
            </w:tcBorders>
            <w:hideMark/>
          </w:tcPr>
          <w:p w14:paraId="1B14C4E4" w14:textId="77777777" w:rsidR="00697F8C" w:rsidRDefault="00697F8C">
            <w:pPr>
              <w:pStyle w:val="TableBullet"/>
              <w:numPr>
                <w:ilvl w:val="0"/>
                <w:numId w:val="0"/>
              </w:numPr>
              <w:tabs>
                <w:tab w:val="left" w:pos="720"/>
              </w:tabs>
            </w:pPr>
            <w:r>
              <w:t>Aug/Sept 2022</w:t>
            </w:r>
          </w:p>
        </w:tc>
        <w:tc>
          <w:tcPr>
            <w:tcW w:w="2151" w:type="dxa"/>
            <w:tcBorders>
              <w:top w:val="single" w:sz="4" w:space="0" w:color="auto"/>
              <w:left w:val="single" w:sz="4" w:space="0" w:color="auto"/>
              <w:bottom w:val="single" w:sz="4" w:space="0" w:color="auto"/>
              <w:right w:val="single" w:sz="4" w:space="0" w:color="auto"/>
            </w:tcBorders>
            <w:hideMark/>
          </w:tcPr>
          <w:p w14:paraId="06D20CB1" w14:textId="77777777" w:rsidR="00697F8C" w:rsidRDefault="00697F8C">
            <w:pPr>
              <w:pStyle w:val="TableBullet"/>
              <w:numPr>
                <w:ilvl w:val="0"/>
                <w:numId w:val="0"/>
              </w:numPr>
              <w:tabs>
                <w:tab w:val="left" w:pos="720"/>
              </w:tabs>
              <w:ind w:left="113"/>
            </w:pPr>
            <w:r>
              <w:t>Audit Comm/Board</w:t>
            </w:r>
          </w:p>
        </w:tc>
        <w:tc>
          <w:tcPr>
            <w:tcW w:w="2989" w:type="dxa"/>
            <w:tcBorders>
              <w:top w:val="single" w:sz="4" w:space="0" w:color="auto"/>
              <w:left w:val="single" w:sz="4" w:space="0" w:color="auto"/>
              <w:bottom w:val="single" w:sz="4" w:space="0" w:color="auto"/>
              <w:right w:val="single" w:sz="4" w:space="0" w:color="auto"/>
            </w:tcBorders>
            <w:hideMark/>
          </w:tcPr>
          <w:p w14:paraId="433D8CB6" w14:textId="77777777" w:rsidR="00697F8C" w:rsidRDefault="00697F8C">
            <w:pPr>
              <w:pStyle w:val="TableBullet"/>
              <w:numPr>
                <w:ilvl w:val="0"/>
                <w:numId w:val="0"/>
              </w:numPr>
              <w:tabs>
                <w:tab w:val="left" w:pos="720"/>
              </w:tabs>
              <w:ind w:left="113"/>
            </w:pPr>
            <w:r>
              <w:t>Numerous updates</w:t>
            </w:r>
          </w:p>
        </w:tc>
        <w:tc>
          <w:tcPr>
            <w:tcW w:w="1256" w:type="dxa"/>
            <w:tcBorders>
              <w:top w:val="single" w:sz="4" w:space="0" w:color="auto"/>
              <w:left w:val="single" w:sz="4" w:space="0" w:color="auto"/>
              <w:bottom w:val="single" w:sz="4" w:space="0" w:color="auto"/>
              <w:right w:val="single" w:sz="4" w:space="0" w:color="auto"/>
            </w:tcBorders>
            <w:hideMark/>
          </w:tcPr>
          <w:p w14:paraId="2B4BF49D" w14:textId="77777777" w:rsidR="00697F8C" w:rsidRDefault="00697F8C">
            <w:pPr>
              <w:pStyle w:val="TableBullet"/>
              <w:numPr>
                <w:ilvl w:val="0"/>
                <w:numId w:val="0"/>
              </w:numPr>
              <w:tabs>
                <w:tab w:val="left" w:pos="720"/>
              </w:tabs>
              <w:ind w:left="113"/>
            </w:pPr>
            <w:proofErr w:type="spellStart"/>
            <w:r>
              <w:t>CoSec</w:t>
            </w:r>
            <w:proofErr w:type="spellEnd"/>
          </w:p>
        </w:tc>
      </w:tr>
    </w:tbl>
    <w:p w14:paraId="414716FE" w14:textId="7C150374" w:rsidR="00697F8C" w:rsidRDefault="00697F8C" w:rsidP="008E76D9">
      <w:pPr>
        <w:pStyle w:val="BodyText"/>
      </w:pPr>
    </w:p>
    <w:p w14:paraId="29FA0EA7" w14:textId="77777777" w:rsidR="00EE169D" w:rsidRPr="008E76D9" w:rsidRDefault="00EE169D" w:rsidP="008E76D9">
      <w:pPr>
        <w:pStyle w:val="BodyText"/>
      </w:pPr>
    </w:p>
    <w:sectPr w:rsidR="00EE169D" w:rsidRPr="008E76D9" w:rsidSect="00D834D1">
      <w:headerReference w:type="default" r:id="rId27"/>
      <w:footerReference w:type="default" r:id="rId28"/>
      <w:headerReference w:type="first" r:id="rId29"/>
      <w:footerReference w:type="first" r:id="rId30"/>
      <w:pgSz w:w="11906" w:h="16838" w:code="9"/>
      <w:pgMar w:top="1418" w:right="1418" w:bottom="993" w:left="1418"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8356B" w14:textId="77777777" w:rsidR="00EC6F19" w:rsidRDefault="00EC6F19" w:rsidP="00C20C17">
      <w:r>
        <w:separator/>
      </w:r>
    </w:p>
  </w:endnote>
  <w:endnote w:type="continuationSeparator" w:id="0">
    <w:p w14:paraId="52878999" w14:textId="77777777" w:rsidR="00EC6F19" w:rsidRDefault="00EC6F19" w:rsidP="00C20C17">
      <w:r>
        <w:continuationSeparator/>
      </w:r>
    </w:p>
  </w:endnote>
  <w:endnote w:type="continuationNotice" w:id="1">
    <w:p w14:paraId="1F38F57D" w14:textId="77777777" w:rsidR="006E6E7C" w:rsidRDefault="006E6E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73" w:type="dxa"/>
      <w:jc w:val="center"/>
      <w:tblBorders>
        <w:top w:val="single" w:sz="18" w:space="0" w:color="C2B59B"/>
      </w:tblBorders>
      <w:tblLook w:val="0600" w:firstRow="0" w:lastRow="0" w:firstColumn="0" w:lastColumn="0" w:noHBand="1" w:noVBand="1"/>
    </w:tblPr>
    <w:tblGrid>
      <w:gridCol w:w="3591"/>
      <w:gridCol w:w="3591"/>
      <w:gridCol w:w="3591"/>
    </w:tblGrid>
    <w:tr w:rsidR="00A67C43" w:rsidRPr="00A67C43" w14:paraId="30F04BFB" w14:textId="77777777" w:rsidTr="00DB32BE">
      <w:trPr>
        <w:jc w:val="center"/>
      </w:trPr>
      <w:tc>
        <w:tcPr>
          <w:tcW w:w="3591" w:type="dxa"/>
        </w:tcPr>
        <w:p w14:paraId="6121ED44" w14:textId="5D7E8C94" w:rsidR="00A67C43" w:rsidRPr="00A67C43" w:rsidRDefault="00A67C43" w:rsidP="00A67C43">
          <w:pPr>
            <w:numPr>
              <w:ilvl w:val="0"/>
              <w:numId w:val="6"/>
            </w:numPr>
            <w:spacing w:before="60"/>
            <w:ind w:left="0"/>
            <w:rPr>
              <w:color w:val="C2B59B"/>
              <w:sz w:val="20"/>
            </w:rPr>
          </w:pPr>
        </w:p>
      </w:tc>
      <w:tc>
        <w:tcPr>
          <w:tcW w:w="3591" w:type="dxa"/>
        </w:tcPr>
        <w:p w14:paraId="6D982EA1" w14:textId="7AB2C5DF" w:rsidR="00A67C43" w:rsidRPr="00A67C43" w:rsidRDefault="00A67C43" w:rsidP="00A67C43">
          <w:pPr>
            <w:numPr>
              <w:ilvl w:val="0"/>
              <w:numId w:val="6"/>
            </w:numPr>
            <w:spacing w:before="60"/>
            <w:ind w:left="0"/>
            <w:jc w:val="center"/>
            <w:rPr>
              <w:color w:val="C2B59B"/>
              <w:sz w:val="20"/>
            </w:rPr>
          </w:pPr>
        </w:p>
      </w:tc>
      <w:tc>
        <w:tcPr>
          <w:tcW w:w="3591" w:type="dxa"/>
        </w:tcPr>
        <w:p w14:paraId="0241CA08" w14:textId="77777777" w:rsidR="00A67C43" w:rsidRPr="00A67C43" w:rsidRDefault="00A67C43" w:rsidP="00A67C43">
          <w:pPr>
            <w:numPr>
              <w:ilvl w:val="0"/>
              <w:numId w:val="6"/>
            </w:numPr>
            <w:spacing w:before="60"/>
            <w:ind w:left="0"/>
            <w:jc w:val="right"/>
            <w:rPr>
              <w:color w:val="C2B59B"/>
              <w:sz w:val="20"/>
            </w:rPr>
          </w:pPr>
          <w:r w:rsidRPr="00A67C43">
            <w:rPr>
              <w:color w:val="C2B59B"/>
              <w:sz w:val="20"/>
            </w:rPr>
            <w:t xml:space="preserve">Page </w:t>
          </w:r>
          <w:r w:rsidRPr="00A67C43">
            <w:rPr>
              <w:color w:val="C2B59B"/>
              <w:sz w:val="20"/>
            </w:rPr>
            <w:fldChar w:fldCharType="begin"/>
          </w:r>
          <w:r w:rsidRPr="00A67C43">
            <w:rPr>
              <w:color w:val="C2B59B"/>
              <w:sz w:val="20"/>
            </w:rPr>
            <w:instrText xml:space="preserve"> PAGE  \* Arabic  \* MERGEFORMAT </w:instrText>
          </w:r>
          <w:r w:rsidRPr="00A67C43">
            <w:rPr>
              <w:color w:val="C2B59B"/>
              <w:sz w:val="20"/>
            </w:rPr>
            <w:fldChar w:fldCharType="separate"/>
          </w:r>
          <w:r w:rsidRPr="00A67C43">
            <w:rPr>
              <w:color w:val="C2B59B"/>
              <w:sz w:val="20"/>
            </w:rPr>
            <w:t>1</w:t>
          </w:r>
          <w:r w:rsidRPr="00A67C43">
            <w:rPr>
              <w:color w:val="C2B59B"/>
              <w:sz w:val="20"/>
            </w:rPr>
            <w:fldChar w:fldCharType="end"/>
          </w:r>
          <w:r w:rsidRPr="00A67C43">
            <w:rPr>
              <w:color w:val="C2B59B"/>
              <w:sz w:val="20"/>
            </w:rPr>
            <w:t xml:space="preserve"> of </w:t>
          </w:r>
          <w:r w:rsidRPr="00A67C43">
            <w:rPr>
              <w:color w:val="C2B59B"/>
              <w:sz w:val="20"/>
            </w:rPr>
            <w:fldChar w:fldCharType="begin"/>
          </w:r>
          <w:r w:rsidRPr="00A67C43">
            <w:rPr>
              <w:color w:val="C2B59B"/>
              <w:sz w:val="20"/>
            </w:rPr>
            <w:instrText xml:space="preserve"> NUMPAGES  \* Arabic  \* MERGEFORMAT </w:instrText>
          </w:r>
          <w:r w:rsidRPr="00A67C43">
            <w:rPr>
              <w:color w:val="C2B59B"/>
              <w:sz w:val="20"/>
            </w:rPr>
            <w:fldChar w:fldCharType="separate"/>
          </w:r>
          <w:r w:rsidRPr="00A67C43">
            <w:rPr>
              <w:color w:val="C2B59B"/>
              <w:sz w:val="20"/>
            </w:rPr>
            <w:t>3</w:t>
          </w:r>
          <w:r w:rsidRPr="00A67C43">
            <w:rPr>
              <w:color w:val="C2B59B"/>
              <w:sz w:val="20"/>
            </w:rPr>
            <w:fldChar w:fldCharType="end"/>
          </w:r>
        </w:p>
      </w:tc>
    </w:tr>
  </w:tbl>
  <w:p w14:paraId="1CB35577" w14:textId="77777777" w:rsidR="00A67C43" w:rsidRPr="00A67C43" w:rsidRDefault="00A67C43">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5C983775" w14:paraId="4A6855AD" w14:textId="77777777" w:rsidTr="5C983775">
      <w:tc>
        <w:tcPr>
          <w:tcW w:w="3020" w:type="dxa"/>
        </w:tcPr>
        <w:p w14:paraId="5FDFD949" w14:textId="1BF1271D" w:rsidR="5C983775" w:rsidRDefault="5C983775" w:rsidP="5C983775">
          <w:pPr>
            <w:pStyle w:val="Header"/>
            <w:ind w:left="-115"/>
            <w:rPr>
              <w:szCs w:val="20"/>
            </w:rPr>
          </w:pPr>
        </w:p>
      </w:tc>
      <w:tc>
        <w:tcPr>
          <w:tcW w:w="3020" w:type="dxa"/>
        </w:tcPr>
        <w:p w14:paraId="29ADF0DB" w14:textId="6BFC25B3" w:rsidR="5C983775" w:rsidRDefault="5C983775" w:rsidP="5C983775">
          <w:pPr>
            <w:pStyle w:val="Header"/>
            <w:jc w:val="center"/>
            <w:rPr>
              <w:szCs w:val="20"/>
            </w:rPr>
          </w:pPr>
        </w:p>
      </w:tc>
      <w:tc>
        <w:tcPr>
          <w:tcW w:w="3020" w:type="dxa"/>
        </w:tcPr>
        <w:p w14:paraId="1BE321B4" w14:textId="1B2EE4D7" w:rsidR="5C983775" w:rsidRDefault="5C983775" w:rsidP="5C983775">
          <w:pPr>
            <w:pStyle w:val="Header"/>
            <w:ind w:right="-115"/>
            <w:jc w:val="right"/>
            <w:rPr>
              <w:szCs w:val="20"/>
            </w:rPr>
          </w:pPr>
        </w:p>
      </w:tc>
    </w:tr>
  </w:tbl>
  <w:p w14:paraId="71DB55E2" w14:textId="5EF67268" w:rsidR="5C983775" w:rsidRDefault="5C983775" w:rsidP="5C983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37D9F" w14:textId="77777777" w:rsidR="00EC6F19" w:rsidRDefault="00EC6F19" w:rsidP="00C20C17">
      <w:r>
        <w:separator/>
      </w:r>
    </w:p>
  </w:footnote>
  <w:footnote w:type="continuationSeparator" w:id="0">
    <w:p w14:paraId="4645EAF9" w14:textId="77777777" w:rsidR="00EC6F19" w:rsidRDefault="00EC6F19" w:rsidP="00C20C17">
      <w:r>
        <w:continuationSeparator/>
      </w:r>
    </w:p>
  </w:footnote>
  <w:footnote w:type="continuationNotice" w:id="1">
    <w:p w14:paraId="4B11EE44" w14:textId="77777777" w:rsidR="006E6E7C" w:rsidRDefault="006E6E7C"/>
  </w:footnote>
  <w:footnote w:id="2">
    <w:p w14:paraId="5816507D" w14:textId="150AF809" w:rsidR="5C983775" w:rsidRDefault="5C983775" w:rsidP="5C983775">
      <w:pPr>
        <w:pStyle w:val="FootnoteText"/>
      </w:pPr>
      <w:r w:rsidRPr="5C983775">
        <w:rPr>
          <w:rStyle w:val="FootnoteReference"/>
          <w:szCs w:val="18"/>
        </w:rPr>
        <w:footnoteRef/>
      </w:r>
      <w:r w:rsidRPr="5C983775">
        <w:rPr>
          <w:szCs w:val="18"/>
        </w:rPr>
        <w:t xml:space="preserve"> StateCover uses a panel of private investigators in the ordinary course of its business.  In the event that an investigator from this panel is proposed to be used, this will be carefully assessed to ensure there are no conflicts of interest.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A1859" w14:textId="77777777" w:rsidR="00043CA0" w:rsidRPr="00043CA0" w:rsidRDefault="00043CA0">
    <w:pPr>
      <w:rPr>
        <w:sz w:val="2"/>
        <w:szCs w:val="2"/>
      </w:rPr>
    </w:pPr>
  </w:p>
  <w:tbl>
    <w:tblPr>
      <w:tblStyle w:val="TableGrid"/>
      <w:tblpPr w:leftFromText="181" w:rightFromText="181" w:vertAnchor="text" w:horzAnchor="page" w:tblpXSpec="center" w:tblpY="1"/>
      <w:tblW w:w="10773" w:type="dxa"/>
      <w:tblCellMar>
        <w:top w:w="57" w:type="dxa"/>
        <w:left w:w="113" w:type="dxa"/>
        <w:bottom w:w="57" w:type="dxa"/>
        <w:right w:w="113" w:type="dxa"/>
      </w:tblCellMar>
      <w:tblLook w:val="0600" w:firstRow="0" w:lastRow="0" w:firstColumn="0" w:lastColumn="0" w:noHBand="1" w:noVBand="1"/>
    </w:tblPr>
    <w:tblGrid>
      <w:gridCol w:w="9639"/>
      <w:gridCol w:w="1134"/>
    </w:tblGrid>
    <w:tr w:rsidR="00CE7B5B" w14:paraId="45CDAE79" w14:textId="77777777" w:rsidTr="00990E1C">
      <w:tc>
        <w:tcPr>
          <w:tcW w:w="0" w:type="auto"/>
          <w:shd w:val="clear" w:color="auto" w:fill="00A59B" w:themeFill="accent1"/>
        </w:tcPr>
        <w:p w14:paraId="47351A13" w14:textId="6570FF52" w:rsidR="00CE7B5B" w:rsidRDefault="00CE7B5B" w:rsidP="006E6455">
          <w:pPr>
            <w:pStyle w:val="Header"/>
          </w:pPr>
          <w:r w:rsidRPr="00990E1C">
            <w:rPr>
              <w:color w:val="C2B59B"/>
            </w:rPr>
            <w:t xml:space="preserve">StateCover  </w:t>
          </w:r>
          <w:r>
            <w:t xml:space="preserve">| </w:t>
          </w:r>
          <w:r w:rsidRPr="00977319">
            <w:t xml:space="preserve"> </w:t>
          </w:r>
          <w:sdt>
            <w:sdtPr>
              <w:rPr>
                <w:rStyle w:val="FooterChar"/>
              </w:rPr>
              <w:alias w:val="Title"/>
              <w:tag w:val=""/>
              <w:id w:val="100529796"/>
              <w:placeholder>
                <w:docPart w:val="093CB11E266741E79C1BB82ECB584ACB"/>
              </w:placeholder>
              <w:dataBinding w:prefixMappings="xmlns:ns0='http://purl.org/dc/elements/1.1/' xmlns:ns1='http://schemas.openxmlformats.org/package/2006/metadata/core-properties' " w:xpath="/ns1:coreProperties[1]/ns0:title[1]" w:storeItemID="{6C3C8BC8-F283-45AE-878A-BAB7291924A1}"/>
              <w:text/>
            </w:sdtPr>
            <w:sdtEndPr>
              <w:rPr>
                <w:rStyle w:val="FooterChar"/>
              </w:rPr>
            </w:sdtEndPr>
            <w:sdtContent>
              <w:r w:rsidR="003F76BE">
                <w:rPr>
                  <w:rStyle w:val="FooterChar"/>
                </w:rPr>
                <w:t>Whistleblower protection – reporting serious wrongdoing</w:t>
              </w:r>
            </w:sdtContent>
          </w:sdt>
        </w:p>
      </w:tc>
      <w:tc>
        <w:tcPr>
          <w:tcW w:w="1134" w:type="dxa"/>
          <w:shd w:val="clear" w:color="auto" w:fill="C2B59B"/>
        </w:tcPr>
        <w:p w14:paraId="5B361B99" w14:textId="77777777" w:rsidR="00CE7B5B" w:rsidRPr="006E6455" w:rsidRDefault="00CE7B5B" w:rsidP="006E6455">
          <w:pPr>
            <w:pStyle w:val="Header"/>
            <w:jc w:val="center"/>
            <w:rPr>
              <w:color w:val="3B3844"/>
            </w:rPr>
          </w:pPr>
          <w:r w:rsidRPr="006E6455">
            <w:rPr>
              <w:color w:val="3B3844"/>
              <w:sz w:val="18"/>
            </w:rPr>
            <w:t xml:space="preserve">Page </w:t>
          </w:r>
          <w:r w:rsidRPr="006E6455">
            <w:rPr>
              <w:color w:val="3B3844"/>
              <w:sz w:val="18"/>
            </w:rPr>
            <w:fldChar w:fldCharType="begin"/>
          </w:r>
          <w:r w:rsidRPr="006E6455">
            <w:rPr>
              <w:color w:val="3B3844"/>
              <w:sz w:val="18"/>
            </w:rPr>
            <w:instrText xml:space="preserve"> PAGE   \* MERGEFORMAT </w:instrText>
          </w:r>
          <w:r w:rsidRPr="006E6455">
            <w:rPr>
              <w:color w:val="3B3844"/>
              <w:sz w:val="18"/>
            </w:rPr>
            <w:fldChar w:fldCharType="separate"/>
          </w:r>
          <w:r w:rsidRPr="006E6455">
            <w:rPr>
              <w:noProof/>
              <w:color w:val="3B3844"/>
              <w:sz w:val="18"/>
            </w:rPr>
            <w:t>1</w:t>
          </w:r>
          <w:r w:rsidRPr="006E6455">
            <w:rPr>
              <w:noProof/>
              <w:color w:val="3B3844"/>
              <w:sz w:val="18"/>
            </w:rPr>
            <w:fldChar w:fldCharType="end"/>
          </w:r>
        </w:p>
      </w:tc>
    </w:tr>
  </w:tbl>
  <w:p w14:paraId="7EAB3564" w14:textId="77777777" w:rsidR="00CE7B5B" w:rsidRDefault="00CE7B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57D36" w14:textId="45144EA0" w:rsidR="00A67C43" w:rsidRDefault="00A67C43" w:rsidP="00A67C43">
    <w:pPr>
      <w:pStyle w:val="Header"/>
      <w:jc w:val="right"/>
    </w:pPr>
    <w:r>
      <w:rPr>
        <w:noProof/>
      </w:rPr>
      <w:drawing>
        <wp:inline distT="0" distB="0" distL="0" distR="0" wp14:anchorId="37192219" wp14:editId="5A3DE7FB">
          <wp:extent cx="1800000" cy="507600"/>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Logos-01.png"/>
                  <pic:cNvPicPr/>
                </pic:nvPicPr>
                <pic:blipFill>
                  <a:blip r:embed="rId1">
                    <a:extLst>
                      <a:ext uri="{28A0092B-C50C-407E-A947-70E740481C1C}">
                        <a14:useLocalDpi xmlns:a14="http://schemas.microsoft.com/office/drawing/2010/main" val="0"/>
                      </a:ext>
                    </a:extLst>
                  </a:blip>
                  <a:stretch>
                    <a:fillRect/>
                  </a:stretch>
                </pic:blipFill>
                <pic:spPr>
                  <a:xfrm>
                    <a:off x="0" y="0"/>
                    <a:ext cx="1800000" cy="507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05423"/>
    <w:multiLevelType w:val="multilevel"/>
    <w:tmpl w:val="843EE822"/>
    <w:numStyleLink w:val="ListAppendix"/>
  </w:abstractNum>
  <w:abstractNum w:abstractNumId="1" w15:restartNumberingAfterBreak="0">
    <w:nsid w:val="0DD726A9"/>
    <w:multiLevelType w:val="multilevel"/>
    <w:tmpl w:val="843EE822"/>
    <w:styleLink w:val="ListAppendix"/>
    <w:lvl w:ilvl="0">
      <w:start w:val="1"/>
      <w:numFmt w:val="upperLetter"/>
      <w:pStyle w:val="Heading9"/>
      <w:lvlText w:val="Appendix %1"/>
      <w:lvlJc w:val="left"/>
      <w:pPr>
        <w:tabs>
          <w:tab w:val="num" w:pos="2268"/>
        </w:tabs>
        <w:ind w:left="0" w:firstLine="0"/>
      </w:pPr>
      <w:rPr>
        <w:rFonts w:hint="default"/>
        <w:color w:val="C2B59B"/>
        <w:sz w:val="40"/>
      </w:rPr>
    </w:lvl>
    <w:lvl w:ilvl="1">
      <w:start w:val="1"/>
      <w:numFmt w:val="decimal"/>
      <w:pStyle w:val="AppendixH2"/>
      <w:lvlText w:val="%1-%2"/>
      <w:lvlJc w:val="left"/>
      <w:pPr>
        <w:tabs>
          <w:tab w:val="num" w:pos="851"/>
        </w:tabs>
        <w:ind w:left="851" w:hanging="851"/>
      </w:pPr>
      <w:rPr>
        <w:rFonts w:hint="default"/>
        <w:color w:val="00A59B" w:themeColor="accent1"/>
      </w:rPr>
    </w:lvl>
    <w:lvl w:ilvl="2">
      <w:start w:val="1"/>
      <w:numFmt w:val="decimal"/>
      <w:pStyle w:val="AppendixH3"/>
      <w:lvlText w:val="%1-%2-%3"/>
      <w:lvlJc w:val="left"/>
      <w:pPr>
        <w:tabs>
          <w:tab w:val="num" w:pos="851"/>
        </w:tabs>
        <w:ind w:left="851" w:hanging="851"/>
      </w:pPr>
      <w:rPr>
        <w:rFonts w:hint="default"/>
        <w:color w:val="00A59B"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color w:val="auto"/>
      </w:rPr>
    </w:lvl>
    <w:lvl w:ilvl="1">
      <w:start w:val="1"/>
      <w:numFmt w:val="lowerRoman"/>
      <w:pStyle w:val="ListAlpha2"/>
      <w:lvlText w:val="%2."/>
      <w:lvlJc w:val="left"/>
      <w:pPr>
        <w:tabs>
          <w:tab w:val="num" w:pos="850"/>
        </w:tabs>
        <w:ind w:left="850" w:hanging="425"/>
      </w:pPr>
      <w:rPr>
        <w:rFonts w:hint="default"/>
        <w:color w:val="auto"/>
      </w:rPr>
    </w:lvl>
    <w:lvl w:ilvl="2">
      <w:start w:val="1"/>
      <w:numFmt w:val="decimal"/>
      <w:pStyle w:val="ListAlpha3"/>
      <w:lvlText w:val="%3."/>
      <w:lvlJc w:val="left"/>
      <w:pPr>
        <w:tabs>
          <w:tab w:val="num" w:pos="1275"/>
        </w:tabs>
        <w:ind w:left="1275" w:hanging="425"/>
      </w:pPr>
      <w:rPr>
        <w:rFonts w:hint="default"/>
        <w:color w:val="auto"/>
      </w:rPr>
    </w:lvl>
    <w:lvl w:ilvl="3">
      <w:start w:val="1"/>
      <w:numFmt w:val="upperLetter"/>
      <w:pStyle w:val="ListAlpha4"/>
      <w:lvlText w:val="%4."/>
      <w:lvlJc w:val="left"/>
      <w:pPr>
        <w:tabs>
          <w:tab w:val="num" w:pos="1700"/>
        </w:tabs>
        <w:ind w:left="1700" w:hanging="425"/>
      </w:pPr>
      <w:rPr>
        <w:rFonts w:hint="default"/>
        <w:color w:val="auto"/>
      </w:rPr>
    </w:lvl>
    <w:lvl w:ilvl="4">
      <w:start w:val="1"/>
      <w:numFmt w:val="upperRoman"/>
      <w:pStyle w:val="ListAlpha5"/>
      <w:lvlText w:val="%5."/>
      <w:lvlJc w:val="left"/>
      <w:pPr>
        <w:tabs>
          <w:tab w:val="num" w:pos="2125"/>
        </w:tabs>
        <w:ind w:left="2125" w:hanging="425"/>
      </w:pPr>
      <w:rPr>
        <w:rFonts w:hint="default"/>
        <w:color w:val="auto"/>
      </w:rPr>
    </w:lvl>
    <w:lvl w:ilvl="5">
      <w:start w:val="1"/>
      <w:numFmt w:val="lowerLetter"/>
      <w:pStyle w:val="ListAlpha6"/>
      <w:lvlText w:val="%6."/>
      <w:lvlJc w:val="left"/>
      <w:pPr>
        <w:tabs>
          <w:tab w:val="num" w:pos="2550"/>
        </w:tabs>
        <w:ind w:left="2550" w:hanging="425"/>
      </w:pPr>
      <w:rPr>
        <w:rFonts w:hint="default"/>
        <w:color w:val="auto"/>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 w15:restartNumberingAfterBreak="0">
    <w:nsid w:val="1A4E610B"/>
    <w:multiLevelType w:val="multilevel"/>
    <w:tmpl w:val="0B76EB08"/>
    <w:styleLink w:val="ListNumber"/>
    <w:lvl w:ilvl="0">
      <w:start w:val="1"/>
      <w:numFmt w:val="decimal"/>
      <w:pStyle w:val="ListNumber0"/>
      <w:lvlText w:val="%1."/>
      <w:lvlJc w:val="left"/>
      <w:pPr>
        <w:tabs>
          <w:tab w:val="num" w:pos="0"/>
        </w:tabs>
        <w:ind w:left="425" w:hanging="425"/>
      </w:pPr>
      <w:rPr>
        <w:rFonts w:hint="default"/>
        <w:color w:val="auto"/>
      </w:rPr>
    </w:lvl>
    <w:lvl w:ilvl="1">
      <w:start w:val="1"/>
      <w:numFmt w:val="lowerLetter"/>
      <w:pStyle w:val="ListNumber2"/>
      <w:lvlText w:val="%2."/>
      <w:lvlJc w:val="left"/>
      <w:pPr>
        <w:tabs>
          <w:tab w:val="num" w:pos="850"/>
        </w:tabs>
        <w:ind w:left="850" w:hanging="425"/>
      </w:pPr>
      <w:rPr>
        <w:rFonts w:hint="default"/>
        <w:color w:val="auto"/>
      </w:rPr>
    </w:lvl>
    <w:lvl w:ilvl="2">
      <w:start w:val="1"/>
      <w:numFmt w:val="lowerRoman"/>
      <w:pStyle w:val="ListNumber3"/>
      <w:lvlText w:val="%3."/>
      <w:lvlJc w:val="left"/>
      <w:pPr>
        <w:tabs>
          <w:tab w:val="num" w:pos="1275"/>
        </w:tabs>
        <w:ind w:left="1275" w:hanging="425"/>
      </w:pPr>
      <w:rPr>
        <w:rFonts w:hint="default"/>
        <w:color w:val="auto"/>
      </w:rPr>
    </w:lvl>
    <w:lvl w:ilvl="3">
      <w:start w:val="1"/>
      <w:numFmt w:val="upperLetter"/>
      <w:pStyle w:val="ListNumber4"/>
      <w:lvlText w:val="%4."/>
      <w:lvlJc w:val="left"/>
      <w:pPr>
        <w:tabs>
          <w:tab w:val="num" w:pos="1700"/>
        </w:tabs>
        <w:ind w:left="1700" w:hanging="425"/>
      </w:pPr>
      <w:rPr>
        <w:rFonts w:hint="default"/>
        <w:color w:val="auto"/>
      </w:rPr>
    </w:lvl>
    <w:lvl w:ilvl="4">
      <w:start w:val="1"/>
      <w:numFmt w:val="upperRoman"/>
      <w:pStyle w:val="ListNumber5"/>
      <w:lvlText w:val="%5."/>
      <w:lvlJc w:val="left"/>
      <w:pPr>
        <w:tabs>
          <w:tab w:val="num" w:pos="2125"/>
        </w:tabs>
        <w:ind w:left="2125" w:hanging="425"/>
      </w:pPr>
      <w:rPr>
        <w:rFonts w:hint="default"/>
        <w:color w:val="auto"/>
      </w:rPr>
    </w:lvl>
    <w:lvl w:ilvl="5">
      <w:start w:val="1"/>
      <w:numFmt w:val="decimal"/>
      <w:pStyle w:val="ListNumber6"/>
      <w:lvlText w:val="%6."/>
      <w:lvlJc w:val="left"/>
      <w:pPr>
        <w:tabs>
          <w:tab w:val="num" w:pos="2550"/>
        </w:tabs>
        <w:ind w:left="2550" w:hanging="425"/>
      </w:pPr>
      <w:rPr>
        <w:rFonts w:hint="default"/>
        <w:color w:val="auto"/>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4" w15:restartNumberingAfterBreak="0">
    <w:nsid w:val="1D737170"/>
    <w:multiLevelType w:val="multilevel"/>
    <w:tmpl w:val="567C5880"/>
    <w:styleLink w:val="ListNbrHeading"/>
    <w:lvl w:ilvl="0">
      <w:start w:val="1"/>
      <w:numFmt w:val="decimal"/>
      <w:pStyle w:val="Heading1"/>
      <w:lvlText w:val="%1."/>
      <w:lvlJc w:val="left"/>
      <w:pPr>
        <w:tabs>
          <w:tab w:val="num" w:pos="851"/>
        </w:tabs>
        <w:ind w:left="851" w:hanging="851"/>
      </w:pPr>
      <w:rPr>
        <w:rFonts w:hint="default"/>
        <w:color w:val="3B3844"/>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 w15:restartNumberingAfterBreak="0">
    <w:nsid w:val="25D7653D"/>
    <w:multiLevelType w:val="multilevel"/>
    <w:tmpl w:val="567C5880"/>
    <w:numStyleLink w:val="ListNbrHeading"/>
  </w:abstractNum>
  <w:abstractNum w:abstractNumId="6"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color w:val="00A59B" w:themeColor="accent1"/>
      </w:rPr>
    </w:lvl>
    <w:lvl w:ilvl="1">
      <w:start w:val="1"/>
      <w:numFmt w:val="bullet"/>
      <w:pStyle w:val="TableBullet2"/>
      <w:lvlText w:val="○"/>
      <w:lvlJc w:val="left"/>
      <w:pPr>
        <w:tabs>
          <w:tab w:val="num" w:pos="680"/>
        </w:tabs>
        <w:ind w:left="680" w:hanging="283"/>
      </w:pPr>
      <w:rPr>
        <w:rFonts w:ascii="Arial" w:hAnsi="Arial" w:hint="default"/>
        <w:color w:val="00A59B" w:themeColor="accent1"/>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7"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8" w15:restartNumberingAfterBreak="0">
    <w:nsid w:val="29FE86D0"/>
    <w:multiLevelType w:val="hybridMultilevel"/>
    <w:tmpl w:val="776A8906"/>
    <w:lvl w:ilvl="0" w:tplc="2250C83A">
      <w:start w:val="1"/>
      <w:numFmt w:val="bullet"/>
      <w:lvlText w:val=""/>
      <w:lvlJc w:val="left"/>
      <w:pPr>
        <w:ind w:left="425" w:hanging="425"/>
      </w:pPr>
      <w:rPr>
        <w:rFonts w:ascii="Symbol" w:hAnsi="Symbol" w:hint="default"/>
      </w:rPr>
    </w:lvl>
    <w:lvl w:ilvl="1" w:tplc="D9E6EE9A">
      <w:start w:val="1"/>
      <w:numFmt w:val="bullet"/>
      <w:lvlText w:val="○"/>
      <w:lvlJc w:val="left"/>
      <w:pPr>
        <w:ind w:left="850" w:hanging="425"/>
      </w:pPr>
      <w:rPr>
        <w:rFonts w:ascii="Arial" w:hAnsi="Arial" w:hint="default"/>
      </w:rPr>
    </w:lvl>
    <w:lvl w:ilvl="2" w:tplc="3FBA1868">
      <w:start w:val="1"/>
      <w:numFmt w:val="bullet"/>
      <w:lvlText w:val=""/>
      <w:lvlJc w:val="left"/>
      <w:pPr>
        <w:ind w:left="2160" w:hanging="360"/>
      </w:pPr>
      <w:rPr>
        <w:rFonts w:ascii="Wingdings" w:hAnsi="Wingdings" w:hint="default"/>
      </w:rPr>
    </w:lvl>
    <w:lvl w:ilvl="3" w:tplc="93D262F8">
      <w:start w:val="1"/>
      <w:numFmt w:val="bullet"/>
      <w:lvlText w:val=""/>
      <w:lvlJc w:val="left"/>
      <w:pPr>
        <w:ind w:left="2880" w:hanging="360"/>
      </w:pPr>
      <w:rPr>
        <w:rFonts w:ascii="Symbol" w:hAnsi="Symbol" w:hint="default"/>
      </w:rPr>
    </w:lvl>
    <w:lvl w:ilvl="4" w:tplc="5730469E">
      <w:start w:val="1"/>
      <w:numFmt w:val="bullet"/>
      <w:lvlText w:val="o"/>
      <w:lvlJc w:val="left"/>
      <w:pPr>
        <w:ind w:left="3600" w:hanging="360"/>
      </w:pPr>
      <w:rPr>
        <w:rFonts w:ascii="Courier New" w:hAnsi="Courier New" w:hint="default"/>
      </w:rPr>
    </w:lvl>
    <w:lvl w:ilvl="5" w:tplc="85FA6630">
      <w:start w:val="1"/>
      <w:numFmt w:val="bullet"/>
      <w:lvlText w:val=""/>
      <w:lvlJc w:val="left"/>
      <w:pPr>
        <w:ind w:left="4320" w:hanging="360"/>
      </w:pPr>
      <w:rPr>
        <w:rFonts w:ascii="Wingdings" w:hAnsi="Wingdings" w:hint="default"/>
      </w:rPr>
    </w:lvl>
    <w:lvl w:ilvl="6" w:tplc="A600EEAA">
      <w:start w:val="1"/>
      <w:numFmt w:val="bullet"/>
      <w:lvlText w:val=""/>
      <w:lvlJc w:val="left"/>
      <w:pPr>
        <w:ind w:left="5040" w:hanging="360"/>
      </w:pPr>
      <w:rPr>
        <w:rFonts w:ascii="Symbol" w:hAnsi="Symbol" w:hint="default"/>
      </w:rPr>
    </w:lvl>
    <w:lvl w:ilvl="7" w:tplc="984AE200">
      <w:start w:val="1"/>
      <w:numFmt w:val="bullet"/>
      <w:lvlText w:val="o"/>
      <w:lvlJc w:val="left"/>
      <w:pPr>
        <w:ind w:left="5760" w:hanging="360"/>
      </w:pPr>
      <w:rPr>
        <w:rFonts w:ascii="Courier New" w:hAnsi="Courier New" w:hint="default"/>
      </w:rPr>
    </w:lvl>
    <w:lvl w:ilvl="8" w:tplc="AF608D5A">
      <w:start w:val="1"/>
      <w:numFmt w:val="bullet"/>
      <w:lvlText w:val=""/>
      <w:lvlJc w:val="left"/>
      <w:pPr>
        <w:ind w:left="6480" w:hanging="360"/>
      </w:pPr>
      <w:rPr>
        <w:rFonts w:ascii="Wingdings" w:hAnsi="Wingdings" w:hint="default"/>
      </w:rPr>
    </w:lvl>
  </w:abstractNum>
  <w:abstractNum w:abstractNumId="9" w15:restartNumberingAfterBreak="0">
    <w:nsid w:val="39CB7133"/>
    <w:multiLevelType w:val="multilevel"/>
    <w:tmpl w:val="843EE822"/>
    <w:numStyleLink w:val="ListAppendix"/>
  </w:abstractNum>
  <w:abstractNum w:abstractNumId="10" w15:restartNumberingAfterBreak="0">
    <w:nsid w:val="3BF26A71"/>
    <w:multiLevelType w:val="multilevel"/>
    <w:tmpl w:val="E9B44B6A"/>
    <w:styleLink w:val="ListParagraph"/>
    <w:lvl w:ilvl="0">
      <w:start w:val="1"/>
      <w:numFmt w:val="none"/>
      <w:pStyle w:val="ListParagraph0"/>
      <w:lvlText w:val=""/>
      <w:lvlJc w:val="left"/>
      <w:pPr>
        <w:ind w:left="425" w:firstLine="0"/>
      </w:pPr>
      <w:rPr>
        <w:rFonts w:hint="default"/>
      </w:rPr>
    </w:lvl>
    <w:lvl w:ilvl="1">
      <w:start w:val="1"/>
      <w:numFmt w:val="none"/>
      <w:pStyle w:val="ListParagraph2"/>
      <w:lvlText w:val=""/>
      <w:lvlJc w:val="left"/>
      <w:pPr>
        <w:ind w:left="851" w:hanging="1"/>
      </w:pPr>
      <w:rPr>
        <w:rFonts w:hint="default"/>
      </w:rPr>
    </w:lvl>
    <w:lvl w:ilvl="2">
      <w:start w:val="1"/>
      <w:numFmt w:val="none"/>
      <w:pStyle w:val="ListParagraph3"/>
      <w:lvlText w:val=""/>
      <w:lvlJc w:val="left"/>
      <w:pPr>
        <w:ind w:left="1276" w:hanging="1"/>
      </w:pPr>
      <w:rPr>
        <w:rFonts w:hint="default"/>
      </w:rPr>
    </w:lvl>
    <w:lvl w:ilvl="3">
      <w:start w:val="1"/>
      <w:numFmt w:val="none"/>
      <w:pStyle w:val="ListParagraph4"/>
      <w:lvlText w:val=""/>
      <w:lvlJc w:val="left"/>
      <w:pPr>
        <w:ind w:left="1701" w:hanging="1"/>
      </w:pPr>
      <w:rPr>
        <w:rFonts w:hint="default"/>
      </w:rPr>
    </w:lvl>
    <w:lvl w:ilvl="4">
      <w:start w:val="1"/>
      <w:numFmt w:val="none"/>
      <w:pStyle w:val="ListParagraph5"/>
      <w:lvlText w:val=""/>
      <w:lvlJc w:val="left"/>
      <w:pPr>
        <w:ind w:left="2126" w:hanging="1"/>
      </w:pPr>
      <w:rPr>
        <w:rFonts w:hint="default"/>
      </w:rPr>
    </w:lvl>
    <w:lvl w:ilvl="5">
      <w:start w:val="1"/>
      <w:numFmt w:val="none"/>
      <w:pStyle w:val="ListParagraph6"/>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1" w15:restartNumberingAfterBreak="0">
    <w:nsid w:val="3CAF41B9"/>
    <w:multiLevelType w:val="multilevel"/>
    <w:tmpl w:val="567C5880"/>
    <w:numStyleLink w:val="ListNbrHeading"/>
  </w:abstractNum>
  <w:abstractNum w:abstractNumId="12" w15:restartNumberingAfterBreak="0">
    <w:nsid w:val="40E4294B"/>
    <w:multiLevelType w:val="multilevel"/>
    <w:tmpl w:val="843EE822"/>
    <w:numStyleLink w:val="ListAppendix"/>
  </w:abstractNum>
  <w:abstractNum w:abstractNumId="13" w15:restartNumberingAfterBreak="0">
    <w:nsid w:val="52AA0A7D"/>
    <w:multiLevelType w:val="multilevel"/>
    <w:tmpl w:val="E9B44B6A"/>
    <w:numStyleLink w:val="ListParagraph"/>
  </w:abstractNum>
  <w:abstractNum w:abstractNumId="14" w15:restartNumberingAfterBreak="0">
    <w:nsid w:val="57232BB8"/>
    <w:multiLevelType w:val="multilevel"/>
    <w:tmpl w:val="0B76EB08"/>
    <w:numStyleLink w:val="ListNumber"/>
  </w:abstractNum>
  <w:abstractNum w:abstractNumId="15" w15:restartNumberingAfterBreak="0">
    <w:nsid w:val="5FCD0E31"/>
    <w:multiLevelType w:val="multilevel"/>
    <w:tmpl w:val="567C5880"/>
    <w:numStyleLink w:val="ListNbrHeading"/>
  </w:abstractNum>
  <w:abstractNum w:abstractNumId="16" w15:restartNumberingAfterBreak="0">
    <w:nsid w:val="620F3444"/>
    <w:multiLevelType w:val="multilevel"/>
    <w:tmpl w:val="843EE822"/>
    <w:numStyleLink w:val="ListAppendix"/>
  </w:abstractNum>
  <w:abstractNum w:abstractNumId="17" w15:restartNumberingAfterBreak="0">
    <w:nsid w:val="635D2A21"/>
    <w:multiLevelType w:val="multilevel"/>
    <w:tmpl w:val="2F6CA4A0"/>
    <w:numStyleLink w:val="ListBullet"/>
  </w:abstractNum>
  <w:abstractNum w:abstractNumId="18" w15:restartNumberingAfterBreak="0">
    <w:nsid w:val="6E9F0F2E"/>
    <w:multiLevelType w:val="multilevel"/>
    <w:tmpl w:val="A906D87A"/>
    <w:numStyleLink w:val="ListTableBullet"/>
  </w:abstractNum>
  <w:abstractNum w:abstractNumId="19" w15:restartNumberingAfterBreak="0">
    <w:nsid w:val="6EDE0E19"/>
    <w:multiLevelType w:val="multilevel"/>
    <w:tmpl w:val="0B76EB08"/>
    <w:numStyleLink w:val="ListNumber"/>
  </w:abstractNum>
  <w:abstractNum w:abstractNumId="20"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color w:val="00A59B" w:themeColor="accent1"/>
      </w:rPr>
    </w:lvl>
    <w:lvl w:ilvl="1">
      <w:start w:val="1"/>
      <w:numFmt w:val="bullet"/>
      <w:pStyle w:val="ListBullet2"/>
      <w:lvlText w:val="○"/>
      <w:lvlJc w:val="left"/>
      <w:pPr>
        <w:tabs>
          <w:tab w:val="num" w:pos="850"/>
        </w:tabs>
        <w:ind w:left="850" w:hanging="425"/>
      </w:pPr>
      <w:rPr>
        <w:rFonts w:ascii="Arial" w:hAnsi="Arial" w:hint="default"/>
        <w:color w:val="00A59B" w:themeColor="accent1"/>
      </w:rPr>
    </w:lvl>
    <w:lvl w:ilvl="2">
      <w:start w:val="1"/>
      <w:numFmt w:val="bullet"/>
      <w:pStyle w:val="ListBullet3"/>
      <w:lvlText w:val=""/>
      <w:lvlJc w:val="left"/>
      <w:pPr>
        <w:tabs>
          <w:tab w:val="num" w:pos="1275"/>
        </w:tabs>
        <w:ind w:left="1275" w:hanging="425"/>
      </w:pPr>
      <w:rPr>
        <w:rFonts w:ascii="Symbol" w:hAnsi="Symbol" w:hint="default"/>
        <w:color w:val="00A59B" w:themeColor="accent1"/>
      </w:rPr>
    </w:lvl>
    <w:lvl w:ilvl="3">
      <w:start w:val="1"/>
      <w:numFmt w:val="bullet"/>
      <w:pStyle w:val="ListBullet4"/>
      <w:lvlText w:val="○"/>
      <w:lvlJc w:val="left"/>
      <w:pPr>
        <w:tabs>
          <w:tab w:val="num" w:pos="1700"/>
        </w:tabs>
        <w:ind w:left="1700" w:hanging="425"/>
      </w:pPr>
      <w:rPr>
        <w:rFonts w:ascii="Arial" w:hAnsi="Arial" w:hint="default"/>
        <w:color w:val="00A59B" w:themeColor="accent1"/>
      </w:rPr>
    </w:lvl>
    <w:lvl w:ilvl="4">
      <w:start w:val="1"/>
      <w:numFmt w:val="bullet"/>
      <w:pStyle w:val="ListBullet5"/>
      <w:lvlText w:val=""/>
      <w:lvlJc w:val="left"/>
      <w:pPr>
        <w:tabs>
          <w:tab w:val="num" w:pos="2125"/>
        </w:tabs>
        <w:ind w:left="2125" w:hanging="425"/>
      </w:pPr>
      <w:rPr>
        <w:rFonts w:ascii="Symbol" w:hAnsi="Symbol" w:hint="default"/>
        <w:color w:val="00A59B" w:themeColor="accent1"/>
      </w:rPr>
    </w:lvl>
    <w:lvl w:ilvl="5">
      <w:start w:val="1"/>
      <w:numFmt w:val="bullet"/>
      <w:pStyle w:val="ListBullet6"/>
      <w:lvlText w:val="○"/>
      <w:lvlJc w:val="left"/>
      <w:pPr>
        <w:tabs>
          <w:tab w:val="num" w:pos="2550"/>
        </w:tabs>
        <w:ind w:left="2550" w:hanging="425"/>
      </w:pPr>
      <w:rPr>
        <w:rFonts w:ascii="Arial" w:hAnsi="Arial" w:hint="default"/>
        <w:color w:val="00A59B" w:themeColor="accent1"/>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21" w15:restartNumberingAfterBreak="0">
    <w:nsid w:val="72B147F9"/>
    <w:multiLevelType w:val="multilevel"/>
    <w:tmpl w:val="88B4D9D6"/>
    <w:numStyleLink w:val="ListAlpha"/>
  </w:abstractNum>
  <w:abstractNum w:abstractNumId="22" w15:restartNumberingAfterBreak="0">
    <w:nsid w:val="76421C02"/>
    <w:multiLevelType w:val="multilevel"/>
    <w:tmpl w:val="88B4D9D6"/>
    <w:numStyleLink w:val="ListAlpha"/>
  </w:abstractNum>
  <w:abstractNum w:abstractNumId="23" w15:restartNumberingAfterBreak="0">
    <w:nsid w:val="7E0E218A"/>
    <w:multiLevelType w:val="multilevel"/>
    <w:tmpl w:val="843EE822"/>
    <w:numStyleLink w:val="ListAppendix"/>
  </w:abstractNum>
  <w:num w:numId="1" w16cid:durableId="1232733681">
    <w:abstractNumId w:val="8"/>
  </w:num>
  <w:num w:numId="2" w16cid:durableId="1851288637">
    <w:abstractNumId w:val="20"/>
  </w:num>
  <w:num w:numId="3" w16cid:durableId="1627660236">
    <w:abstractNumId w:val="3"/>
  </w:num>
  <w:num w:numId="4" w16cid:durableId="1826319615">
    <w:abstractNumId w:val="10"/>
  </w:num>
  <w:num w:numId="5" w16cid:durableId="993296264">
    <w:abstractNumId w:val="2"/>
  </w:num>
  <w:num w:numId="6" w16cid:durableId="1090353597">
    <w:abstractNumId w:val="13"/>
  </w:num>
  <w:num w:numId="7" w16cid:durableId="1243295946">
    <w:abstractNumId w:val="4"/>
  </w:num>
  <w:num w:numId="8" w16cid:durableId="1286278679">
    <w:abstractNumId w:val="6"/>
  </w:num>
  <w:num w:numId="9" w16cid:durableId="1054738412">
    <w:abstractNumId w:val="7"/>
  </w:num>
  <w:num w:numId="10" w16cid:durableId="1605109762">
    <w:abstractNumId w:val="1"/>
  </w:num>
  <w:num w:numId="11" w16cid:durableId="387731373">
    <w:abstractNumId w:val="17"/>
  </w:num>
  <w:num w:numId="12" w16cid:durableId="1098063543">
    <w:abstractNumId w:val="19"/>
  </w:num>
  <w:num w:numId="13" w16cid:durableId="1795059668">
    <w:abstractNumId w:val="21"/>
  </w:num>
  <w:num w:numId="14" w16cid:durableId="372003531">
    <w:abstractNumId w:val="11"/>
  </w:num>
  <w:num w:numId="15" w16cid:durableId="1432702162">
    <w:abstractNumId w:val="18"/>
  </w:num>
  <w:num w:numId="16" w16cid:durableId="1866750277">
    <w:abstractNumId w:val="9"/>
    <w:lvlOverride w:ilvl="0">
      <w:lvl w:ilvl="0">
        <w:start w:val="1"/>
        <w:numFmt w:val="upperLetter"/>
        <w:lvlText w:val="Appendix %1"/>
        <w:lvlJc w:val="left"/>
        <w:pPr>
          <w:tabs>
            <w:tab w:val="num" w:pos="2268"/>
          </w:tabs>
          <w:ind w:left="0" w:firstLine="0"/>
        </w:pPr>
        <w:rPr>
          <w:rFonts w:hint="default"/>
          <w:b w:val="0"/>
          <w:color w:val="C2B59B" w:themeColor="accent3"/>
          <w:sz w:val="72"/>
        </w:rPr>
      </w:lvl>
    </w:lvlOverride>
  </w:num>
  <w:num w:numId="17" w16cid:durableId="1927735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9605352">
    <w:abstractNumId w:val="14"/>
  </w:num>
  <w:num w:numId="19" w16cid:durableId="539434794">
    <w:abstractNumId w:val="22"/>
  </w:num>
  <w:num w:numId="20" w16cid:durableId="1440643994">
    <w:abstractNumId w:val="5"/>
  </w:num>
  <w:num w:numId="21" w16cid:durableId="16877075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2816012">
    <w:abstractNumId w:val="15"/>
  </w:num>
  <w:num w:numId="23" w16cid:durableId="1767530056">
    <w:abstractNumId w:val="16"/>
  </w:num>
  <w:num w:numId="24" w16cid:durableId="1121461891">
    <w:abstractNumId w:val="23"/>
  </w:num>
  <w:num w:numId="25" w16cid:durableId="1468011299">
    <w:abstractNumId w:val="12"/>
  </w:num>
  <w:num w:numId="26" w16cid:durableId="1802534627">
    <w:abstractNumId w:val="0"/>
  </w:num>
  <w:num w:numId="27" w16cid:durableId="1789813797">
    <w:abstractNumId w:val="18"/>
    <w:lvlOverride w:ilvl="0">
      <w:startOverride w:val="1"/>
      <w:lvl w:ilvl="0">
        <w:start w:val="1"/>
        <w:numFmt w:val="decimal"/>
        <w:pStyle w:val="TableBullet"/>
        <w:lvlText w:val=""/>
        <w:lvlJc w:val="left"/>
        <w:pPr>
          <w:tabs>
            <w:tab w:val="num" w:pos="397"/>
          </w:tabs>
          <w:ind w:left="397" w:hanging="284"/>
        </w:pPr>
        <w:rPr>
          <w:rFonts w:ascii="Symbol" w:hAnsi="Symbol" w:hint="default"/>
          <w:color w:val="auto"/>
        </w:rPr>
      </w:lvl>
    </w:lvlOverride>
    <w:lvlOverride w:ilvl="1">
      <w:lvl w:ilvl="1">
        <w:numFmt w:val="decimal"/>
        <w:pStyle w:val="TableBullet2"/>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16cid:durableId="703753306">
    <w:abstractNumId w:val="18"/>
  </w:num>
  <w:num w:numId="29" w16cid:durableId="143531935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66559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48202100">
    <w:abstractNumId w:val="18"/>
    <w:lvlOverride w:ilvl="0">
      <w:lvl w:ilvl="0">
        <w:start w:val="1"/>
        <w:numFmt w:val="bullet"/>
        <w:pStyle w:val="TableBullet"/>
        <w:lvlText w:val=""/>
        <w:lvlJc w:val="left"/>
        <w:pPr>
          <w:tabs>
            <w:tab w:val="num" w:pos="397"/>
          </w:tabs>
          <w:ind w:left="397" w:hanging="284"/>
        </w:pPr>
        <w:rPr>
          <w:rFonts w:ascii="Symbol" w:hAnsi="Symbol" w:hint="default"/>
          <w:color w:val="auto"/>
        </w:rPr>
      </w:lvl>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C43"/>
    <w:rsid w:val="000032B5"/>
    <w:rsid w:val="00010A34"/>
    <w:rsid w:val="00027A63"/>
    <w:rsid w:val="00035585"/>
    <w:rsid w:val="00043CA0"/>
    <w:rsid w:val="000542C6"/>
    <w:rsid w:val="00080170"/>
    <w:rsid w:val="000A7FC7"/>
    <w:rsid w:val="000B0AA1"/>
    <w:rsid w:val="000E5602"/>
    <w:rsid w:val="000E5DCD"/>
    <w:rsid w:val="001006A0"/>
    <w:rsid w:val="00134AA9"/>
    <w:rsid w:val="00161CF9"/>
    <w:rsid w:val="0016611E"/>
    <w:rsid w:val="0017304A"/>
    <w:rsid w:val="00176BCF"/>
    <w:rsid w:val="00181107"/>
    <w:rsid w:val="001811FC"/>
    <w:rsid w:val="00196C64"/>
    <w:rsid w:val="001A26B3"/>
    <w:rsid w:val="001C4655"/>
    <w:rsid w:val="001C60DA"/>
    <w:rsid w:val="001E544B"/>
    <w:rsid w:val="002054A5"/>
    <w:rsid w:val="002412D5"/>
    <w:rsid w:val="0026194D"/>
    <w:rsid w:val="0027298F"/>
    <w:rsid w:val="00276A31"/>
    <w:rsid w:val="002B1B3D"/>
    <w:rsid w:val="002E496D"/>
    <w:rsid w:val="002F3B98"/>
    <w:rsid w:val="002F612F"/>
    <w:rsid w:val="00305984"/>
    <w:rsid w:val="00346F32"/>
    <w:rsid w:val="00350EAD"/>
    <w:rsid w:val="0037721B"/>
    <w:rsid w:val="003778C0"/>
    <w:rsid w:val="003836FC"/>
    <w:rsid w:val="003A3FBC"/>
    <w:rsid w:val="003C46A7"/>
    <w:rsid w:val="003D52EA"/>
    <w:rsid w:val="003F76BE"/>
    <w:rsid w:val="004256AC"/>
    <w:rsid w:val="00433091"/>
    <w:rsid w:val="00433CB7"/>
    <w:rsid w:val="00440022"/>
    <w:rsid w:val="00445521"/>
    <w:rsid w:val="00450BF3"/>
    <w:rsid w:val="0049474D"/>
    <w:rsid w:val="004B511F"/>
    <w:rsid w:val="004F5F55"/>
    <w:rsid w:val="0053755A"/>
    <w:rsid w:val="00553E85"/>
    <w:rsid w:val="00564D47"/>
    <w:rsid w:val="0058420E"/>
    <w:rsid w:val="005B54F0"/>
    <w:rsid w:val="005C3189"/>
    <w:rsid w:val="005C648E"/>
    <w:rsid w:val="005D0167"/>
    <w:rsid w:val="005D17D9"/>
    <w:rsid w:val="005E31B1"/>
    <w:rsid w:val="005E4CE1"/>
    <w:rsid w:val="005E7363"/>
    <w:rsid w:val="005F25F8"/>
    <w:rsid w:val="00603000"/>
    <w:rsid w:val="0060734D"/>
    <w:rsid w:val="00624D58"/>
    <w:rsid w:val="00632819"/>
    <w:rsid w:val="00635348"/>
    <w:rsid w:val="0064151B"/>
    <w:rsid w:val="006429C5"/>
    <w:rsid w:val="00643D5F"/>
    <w:rsid w:val="00670B05"/>
    <w:rsid w:val="00672662"/>
    <w:rsid w:val="006747ED"/>
    <w:rsid w:val="00685BEC"/>
    <w:rsid w:val="00697F8C"/>
    <w:rsid w:val="006A51DE"/>
    <w:rsid w:val="006C0E44"/>
    <w:rsid w:val="006E6455"/>
    <w:rsid w:val="006E6E7C"/>
    <w:rsid w:val="006F7AD8"/>
    <w:rsid w:val="00706B68"/>
    <w:rsid w:val="0074034B"/>
    <w:rsid w:val="00742683"/>
    <w:rsid w:val="00743EA4"/>
    <w:rsid w:val="00744CAB"/>
    <w:rsid w:val="00795FFE"/>
    <w:rsid w:val="007B215D"/>
    <w:rsid w:val="007C38B8"/>
    <w:rsid w:val="007F5557"/>
    <w:rsid w:val="007F5769"/>
    <w:rsid w:val="008274CF"/>
    <w:rsid w:val="0083025B"/>
    <w:rsid w:val="00830F0F"/>
    <w:rsid w:val="00834296"/>
    <w:rsid w:val="008438C0"/>
    <w:rsid w:val="00855B10"/>
    <w:rsid w:val="00862690"/>
    <w:rsid w:val="00871F62"/>
    <w:rsid w:val="0089118A"/>
    <w:rsid w:val="008A0762"/>
    <w:rsid w:val="008B565A"/>
    <w:rsid w:val="008D0D59"/>
    <w:rsid w:val="008E28F7"/>
    <w:rsid w:val="008E2E11"/>
    <w:rsid w:val="008E5D0E"/>
    <w:rsid w:val="008E76D9"/>
    <w:rsid w:val="008F1E5A"/>
    <w:rsid w:val="009006D8"/>
    <w:rsid w:val="00912BF3"/>
    <w:rsid w:val="009172F3"/>
    <w:rsid w:val="00925780"/>
    <w:rsid w:val="009416C6"/>
    <w:rsid w:val="00945CB4"/>
    <w:rsid w:val="009535F9"/>
    <w:rsid w:val="00975901"/>
    <w:rsid w:val="00977319"/>
    <w:rsid w:val="00990E1C"/>
    <w:rsid w:val="00991773"/>
    <w:rsid w:val="009C39D0"/>
    <w:rsid w:val="009D6143"/>
    <w:rsid w:val="009E03B5"/>
    <w:rsid w:val="009E03DB"/>
    <w:rsid w:val="009E6379"/>
    <w:rsid w:val="009F3881"/>
    <w:rsid w:val="00A05CD6"/>
    <w:rsid w:val="00A12E5C"/>
    <w:rsid w:val="00A2512D"/>
    <w:rsid w:val="00A30A30"/>
    <w:rsid w:val="00A34437"/>
    <w:rsid w:val="00A55B40"/>
    <w:rsid w:val="00A6013D"/>
    <w:rsid w:val="00A67C43"/>
    <w:rsid w:val="00A75384"/>
    <w:rsid w:val="00A8519A"/>
    <w:rsid w:val="00A8574C"/>
    <w:rsid w:val="00A91243"/>
    <w:rsid w:val="00AD15D6"/>
    <w:rsid w:val="00B01761"/>
    <w:rsid w:val="00B025B0"/>
    <w:rsid w:val="00B056CF"/>
    <w:rsid w:val="00B21E4A"/>
    <w:rsid w:val="00B222FD"/>
    <w:rsid w:val="00B57A02"/>
    <w:rsid w:val="00B64AA6"/>
    <w:rsid w:val="00B742E4"/>
    <w:rsid w:val="00B7751F"/>
    <w:rsid w:val="00B91B99"/>
    <w:rsid w:val="00BB1640"/>
    <w:rsid w:val="00BC0E71"/>
    <w:rsid w:val="00BC2AD1"/>
    <w:rsid w:val="00BE1655"/>
    <w:rsid w:val="00BF4685"/>
    <w:rsid w:val="00C07077"/>
    <w:rsid w:val="00C12CA9"/>
    <w:rsid w:val="00C140CB"/>
    <w:rsid w:val="00C17E75"/>
    <w:rsid w:val="00C20C17"/>
    <w:rsid w:val="00C254C6"/>
    <w:rsid w:val="00C33B32"/>
    <w:rsid w:val="00C34F8B"/>
    <w:rsid w:val="00C85B07"/>
    <w:rsid w:val="00C8733C"/>
    <w:rsid w:val="00C9594D"/>
    <w:rsid w:val="00CA288F"/>
    <w:rsid w:val="00CB5375"/>
    <w:rsid w:val="00CE383E"/>
    <w:rsid w:val="00CE7B5B"/>
    <w:rsid w:val="00D3585E"/>
    <w:rsid w:val="00D42441"/>
    <w:rsid w:val="00D834D1"/>
    <w:rsid w:val="00D92FB9"/>
    <w:rsid w:val="00DB006D"/>
    <w:rsid w:val="00DB162B"/>
    <w:rsid w:val="00DB32BE"/>
    <w:rsid w:val="00DC1C66"/>
    <w:rsid w:val="00DD0AFE"/>
    <w:rsid w:val="00DD5F9A"/>
    <w:rsid w:val="00DD76D2"/>
    <w:rsid w:val="00E01F6C"/>
    <w:rsid w:val="00E10483"/>
    <w:rsid w:val="00E222F2"/>
    <w:rsid w:val="00E31389"/>
    <w:rsid w:val="00E37509"/>
    <w:rsid w:val="00E551B9"/>
    <w:rsid w:val="00E655BB"/>
    <w:rsid w:val="00E87A8D"/>
    <w:rsid w:val="00EB3E43"/>
    <w:rsid w:val="00EC38B6"/>
    <w:rsid w:val="00EC6F19"/>
    <w:rsid w:val="00EE169D"/>
    <w:rsid w:val="00EF0BAB"/>
    <w:rsid w:val="00F13D23"/>
    <w:rsid w:val="00F32EE7"/>
    <w:rsid w:val="00F56EF3"/>
    <w:rsid w:val="00F6456A"/>
    <w:rsid w:val="00F65820"/>
    <w:rsid w:val="00F872BD"/>
    <w:rsid w:val="00F94798"/>
    <w:rsid w:val="00FB54BA"/>
    <w:rsid w:val="00FC0BC3"/>
    <w:rsid w:val="00FC3A15"/>
    <w:rsid w:val="00FD1621"/>
    <w:rsid w:val="00FE49F0"/>
    <w:rsid w:val="010DB0A9"/>
    <w:rsid w:val="01C72356"/>
    <w:rsid w:val="0204BCC3"/>
    <w:rsid w:val="03CFF34B"/>
    <w:rsid w:val="0B868149"/>
    <w:rsid w:val="0DEDD1E0"/>
    <w:rsid w:val="130DF639"/>
    <w:rsid w:val="16212682"/>
    <w:rsid w:val="163F324E"/>
    <w:rsid w:val="18B90905"/>
    <w:rsid w:val="1DDA0D48"/>
    <w:rsid w:val="1EB17849"/>
    <w:rsid w:val="1F1AE260"/>
    <w:rsid w:val="2132351F"/>
    <w:rsid w:val="22B83722"/>
    <w:rsid w:val="25C3CCDC"/>
    <w:rsid w:val="2605A642"/>
    <w:rsid w:val="2856B02E"/>
    <w:rsid w:val="2C98DCCE"/>
    <w:rsid w:val="2E563F1A"/>
    <w:rsid w:val="2EC2A1B4"/>
    <w:rsid w:val="2F8AD0C4"/>
    <w:rsid w:val="2F93EEF9"/>
    <w:rsid w:val="312FBF5A"/>
    <w:rsid w:val="3487E731"/>
    <w:rsid w:val="360DE934"/>
    <w:rsid w:val="36586DA1"/>
    <w:rsid w:val="378C741D"/>
    <w:rsid w:val="37BF87F3"/>
    <w:rsid w:val="39197EEE"/>
    <w:rsid w:val="394589F6"/>
    <w:rsid w:val="3B572FEA"/>
    <w:rsid w:val="3C511FB0"/>
    <w:rsid w:val="3DC19A63"/>
    <w:rsid w:val="3ECBE99E"/>
    <w:rsid w:val="4568DE81"/>
    <w:rsid w:val="48A07F43"/>
    <w:rsid w:val="4A4C16B4"/>
    <w:rsid w:val="4BE7E715"/>
    <w:rsid w:val="4D3E8DB6"/>
    <w:rsid w:val="4EE5434B"/>
    <w:rsid w:val="516D01A1"/>
    <w:rsid w:val="52572899"/>
    <w:rsid w:val="545D18C4"/>
    <w:rsid w:val="548D2590"/>
    <w:rsid w:val="55219A47"/>
    <w:rsid w:val="55A23FE5"/>
    <w:rsid w:val="596425AC"/>
    <w:rsid w:val="5A2E44A2"/>
    <w:rsid w:val="5AFC6714"/>
    <w:rsid w:val="5C983775"/>
    <w:rsid w:val="61CC7438"/>
    <w:rsid w:val="62F2386E"/>
    <w:rsid w:val="65C55658"/>
    <w:rsid w:val="66C27F25"/>
    <w:rsid w:val="69754F17"/>
    <w:rsid w:val="6C819A2B"/>
    <w:rsid w:val="72050642"/>
    <w:rsid w:val="7233199F"/>
    <w:rsid w:val="7BF75FD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5563FE3"/>
  <w15:chartTrackingRefBased/>
  <w15:docId w15:val="{3C9DF12F-EF21-4776-A6E9-6076A6BDC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unhideWhenUsed="1"/>
    <w:lsdException w:name="toc 8" w:uiPriority="39"/>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11E"/>
    <w:pPr>
      <w:spacing w:after="0" w:line="240" w:lineRule="auto"/>
    </w:pPr>
  </w:style>
  <w:style w:type="paragraph" w:styleId="Heading1">
    <w:name w:val="heading 1"/>
    <w:basedOn w:val="Normal"/>
    <w:next w:val="BodyText"/>
    <w:link w:val="Heading1Char"/>
    <w:qFormat/>
    <w:rsid w:val="008274CF"/>
    <w:pPr>
      <w:keepNext/>
      <w:keepLines/>
      <w:numPr>
        <w:numId w:val="22"/>
      </w:numPr>
      <w:spacing w:before="360" w:after="240"/>
      <w:outlineLvl w:val="0"/>
    </w:pPr>
    <w:rPr>
      <w:rFonts w:asciiTheme="majorHAnsi" w:eastAsiaTheme="majorEastAsia" w:hAnsiTheme="majorHAnsi" w:cstheme="majorBidi"/>
      <w:b/>
      <w:color w:val="3B3944" w:themeColor="accent2"/>
      <w:sz w:val="32"/>
      <w:szCs w:val="32"/>
    </w:rPr>
  </w:style>
  <w:style w:type="paragraph" w:styleId="Heading2">
    <w:name w:val="heading 2"/>
    <w:basedOn w:val="Normal"/>
    <w:next w:val="BodyText"/>
    <w:link w:val="Heading2Char"/>
    <w:qFormat/>
    <w:rsid w:val="00FE49F0"/>
    <w:pPr>
      <w:keepNext/>
      <w:keepLines/>
      <w:numPr>
        <w:ilvl w:val="1"/>
        <w:numId w:val="22"/>
      </w:numPr>
      <w:spacing w:before="240" w:after="120"/>
      <w:outlineLvl w:val="1"/>
    </w:pPr>
    <w:rPr>
      <w:rFonts w:asciiTheme="majorHAnsi" w:eastAsiaTheme="majorEastAsia" w:hAnsiTheme="majorHAnsi" w:cstheme="majorBidi"/>
      <w:color w:val="00A59B" w:themeColor="accent1"/>
      <w:sz w:val="28"/>
      <w:szCs w:val="26"/>
    </w:rPr>
  </w:style>
  <w:style w:type="paragraph" w:styleId="Heading3">
    <w:name w:val="heading 3"/>
    <w:basedOn w:val="Normal"/>
    <w:next w:val="BodyText"/>
    <w:link w:val="Heading3Char"/>
    <w:qFormat/>
    <w:rsid w:val="00FE49F0"/>
    <w:pPr>
      <w:keepNext/>
      <w:keepLines/>
      <w:numPr>
        <w:ilvl w:val="2"/>
        <w:numId w:val="22"/>
      </w:numPr>
      <w:spacing w:before="240" w:after="120"/>
      <w:outlineLvl w:val="2"/>
    </w:pPr>
    <w:rPr>
      <w:rFonts w:asciiTheme="majorHAnsi" w:eastAsiaTheme="majorEastAsia" w:hAnsiTheme="majorHAnsi" w:cstheme="majorBidi"/>
      <w:color w:val="00A59B" w:themeColor="accent1"/>
      <w:sz w:val="24"/>
      <w:szCs w:val="24"/>
    </w:rPr>
  </w:style>
  <w:style w:type="paragraph" w:styleId="Heading4">
    <w:name w:val="heading 4"/>
    <w:basedOn w:val="Normal"/>
    <w:next w:val="BodyText"/>
    <w:link w:val="Heading4Char"/>
    <w:qFormat/>
    <w:rsid w:val="00FE49F0"/>
    <w:pPr>
      <w:keepNext/>
      <w:keepLines/>
      <w:numPr>
        <w:ilvl w:val="3"/>
        <w:numId w:val="22"/>
      </w:numPr>
      <w:spacing w:before="240" w:after="120"/>
      <w:outlineLvl w:val="3"/>
    </w:pPr>
    <w:rPr>
      <w:rFonts w:asciiTheme="majorHAnsi" w:eastAsiaTheme="majorEastAsia" w:hAnsiTheme="majorHAnsi" w:cstheme="majorBidi"/>
      <w:b/>
      <w:iCs/>
      <w:color w:val="00A59B" w:themeColor="accent1"/>
    </w:rPr>
  </w:style>
  <w:style w:type="paragraph" w:styleId="Heading5">
    <w:name w:val="heading 5"/>
    <w:basedOn w:val="Normal"/>
    <w:next w:val="BodyText"/>
    <w:link w:val="Heading5Char"/>
    <w:qFormat/>
    <w:rsid w:val="00FE49F0"/>
    <w:pPr>
      <w:keepNext/>
      <w:keepLines/>
      <w:numPr>
        <w:ilvl w:val="4"/>
        <w:numId w:val="22"/>
      </w:numPr>
      <w:spacing w:before="240" w:after="120"/>
      <w:outlineLvl w:val="4"/>
    </w:pPr>
    <w:rPr>
      <w:rFonts w:asciiTheme="majorHAnsi" w:eastAsiaTheme="majorEastAsia" w:hAnsiTheme="majorHAnsi" w:cstheme="majorBidi"/>
      <w:i/>
      <w:color w:val="00A59B" w:themeColor="accent1"/>
    </w:rPr>
  </w:style>
  <w:style w:type="paragraph" w:styleId="Heading9">
    <w:name w:val="heading 9"/>
    <w:aliases w:val="Appendix H1"/>
    <w:basedOn w:val="Normal"/>
    <w:next w:val="BodyText"/>
    <w:link w:val="Heading9Char"/>
    <w:uiPriority w:val="12"/>
    <w:qFormat/>
    <w:rsid w:val="00990E1C"/>
    <w:pPr>
      <w:keepNext/>
      <w:pageBreakBefore/>
      <w:numPr>
        <w:numId w:val="26"/>
      </w:numPr>
      <w:spacing w:line="288" w:lineRule="auto"/>
      <w:outlineLvl w:val="8"/>
    </w:pPr>
    <w:rPr>
      <w:b/>
      <w:iCs/>
      <w:color w:val="3B3944" w:themeColor="accent2"/>
      <w:sz w:val="3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2"/>
    <w:qFormat/>
    <w:rsid w:val="006F7AD8"/>
    <w:pPr>
      <w:numPr>
        <w:numId w:val="6"/>
      </w:numPr>
      <w:spacing w:before="60" w:after="60"/>
    </w:pPr>
  </w:style>
  <w:style w:type="paragraph" w:customStyle="1" w:styleId="ListParagraph2">
    <w:name w:val="List Paragraph 2"/>
    <w:basedOn w:val="ListParagraph0"/>
    <w:uiPriority w:val="19"/>
    <w:rsid w:val="005E7363"/>
    <w:pPr>
      <w:numPr>
        <w:ilvl w:val="1"/>
      </w:numPr>
      <w:tabs>
        <w:tab w:val="num" w:pos="360"/>
      </w:tabs>
      <w:ind w:left="425" w:firstLine="0"/>
    </w:pPr>
  </w:style>
  <w:style w:type="paragraph" w:customStyle="1" w:styleId="ListParagraph3">
    <w:name w:val="List Paragraph 3"/>
    <w:basedOn w:val="ListParagraph0"/>
    <w:uiPriority w:val="19"/>
    <w:rsid w:val="005E7363"/>
    <w:pPr>
      <w:numPr>
        <w:ilvl w:val="2"/>
      </w:numPr>
      <w:tabs>
        <w:tab w:val="num" w:pos="360"/>
      </w:tabs>
      <w:ind w:left="425" w:firstLine="0"/>
    </w:pPr>
  </w:style>
  <w:style w:type="paragraph" w:customStyle="1" w:styleId="ListParagraph4">
    <w:name w:val="List Paragraph 4"/>
    <w:basedOn w:val="ListParagraph0"/>
    <w:uiPriority w:val="19"/>
    <w:rsid w:val="005E7363"/>
    <w:pPr>
      <w:numPr>
        <w:ilvl w:val="3"/>
      </w:numPr>
      <w:tabs>
        <w:tab w:val="num" w:pos="360"/>
      </w:tabs>
      <w:ind w:left="425" w:firstLine="0"/>
    </w:pPr>
  </w:style>
  <w:style w:type="paragraph" w:customStyle="1" w:styleId="ListParagraph5">
    <w:name w:val="List Paragraph 5"/>
    <w:basedOn w:val="ListParagraph0"/>
    <w:uiPriority w:val="19"/>
    <w:rsid w:val="005E7363"/>
    <w:pPr>
      <w:numPr>
        <w:ilvl w:val="4"/>
      </w:numPr>
    </w:pPr>
  </w:style>
  <w:style w:type="character" w:customStyle="1" w:styleId="Heading1Char">
    <w:name w:val="Heading 1 Char"/>
    <w:basedOn w:val="DefaultParagraphFont"/>
    <w:link w:val="Heading1"/>
    <w:rsid w:val="008274CF"/>
    <w:rPr>
      <w:rFonts w:asciiTheme="majorHAnsi" w:eastAsiaTheme="majorEastAsia" w:hAnsiTheme="majorHAnsi" w:cstheme="majorBidi"/>
      <w:b/>
      <w:color w:val="3B3944" w:themeColor="accent2"/>
      <w:sz w:val="32"/>
      <w:szCs w:val="32"/>
    </w:rPr>
  </w:style>
  <w:style w:type="paragraph" w:customStyle="1" w:styleId="AltHeading1">
    <w:name w:val="Alt Heading 1"/>
    <w:basedOn w:val="Heading1"/>
    <w:next w:val="BodyText"/>
    <w:uiPriority w:val="1"/>
    <w:qFormat/>
    <w:rsid w:val="008274CF"/>
    <w:pPr>
      <w:numPr>
        <w:numId w:val="0"/>
      </w:numPr>
    </w:pPr>
  </w:style>
  <w:style w:type="character" w:customStyle="1" w:styleId="Heading2Char">
    <w:name w:val="Heading 2 Char"/>
    <w:basedOn w:val="DefaultParagraphFont"/>
    <w:link w:val="Heading2"/>
    <w:rsid w:val="00FE49F0"/>
    <w:rPr>
      <w:rFonts w:asciiTheme="majorHAnsi" w:eastAsiaTheme="majorEastAsia" w:hAnsiTheme="majorHAnsi" w:cstheme="majorBidi"/>
      <w:color w:val="00A59B" w:themeColor="accent1"/>
      <w:sz w:val="28"/>
      <w:szCs w:val="26"/>
    </w:rPr>
  </w:style>
  <w:style w:type="paragraph" w:customStyle="1" w:styleId="AltHeading2">
    <w:name w:val="Alt Heading 2"/>
    <w:basedOn w:val="Heading2"/>
    <w:next w:val="BodyText"/>
    <w:uiPriority w:val="1"/>
    <w:qFormat/>
    <w:rsid w:val="00742683"/>
    <w:pPr>
      <w:numPr>
        <w:ilvl w:val="0"/>
        <w:numId w:val="0"/>
      </w:numPr>
    </w:pPr>
  </w:style>
  <w:style w:type="character" w:customStyle="1" w:styleId="Heading3Char">
    <w:name w:val="Heading 3 Char"/>
    <w:basedOn w:val="DefaultParagraphFont"/>
    <w:link w:val="Heading3"/>
    <w:rsid w:val="0089118A"/>
    <w:rPr>
      <w:rFonts w:asciiTheme="majorHAnsi" w:eastAsiaTheme="majorEastAsia" w:hAnsiTheme="majorHAnsi" w:cstheme="majorBidi"/>
      <w:color w:val="00A59B" w:themeColor="accent1"/>
      <w:sz w:val="24"/>
      <w:szCs w:val="24"/>
    </w:rPr>
  </w:style>
  <w:style w:type="paragraph" w:customStyle="1" w:styleId="AltHeading3">
    <w:name w:val="Alt Heading 3"/>
    <w:basedOn w:val="Heading3"/>
    <w:next w:val="BodyText"/>
    <w:uiPriority w:val="1"/>
    <w:qFormat/>
    <w:rsid w:val="0089118A"/>
    <w:pPr>
      <w:numPr>
        <w:ilvl w:val="0"/>
        <w:numId w:val="0"/>
      </w:numPr>
    </w:pPr>
  </w:style>
  <w:style w:type="character" w:customStyle="1" w:styleId="Heading4Char">
    <w:name w:val="Heading 4 Char"/>
    <w:basedOn w:val="DefaultParagraphFont"/>
    <w:link w:val="Heading4"/>
    <w:rsid w:val="00FE49F0"/>
    <w:rPr>
      <w:rFonts w:asciiTheme="majorHAnsi" w:eastAsiaTheme="majorEastAsia" w:hAnsiTheme="majorHAnsi" w:cstheme="majorBidi"/>
      <w:b/>
      <w:iCs/>
      <w:color w:val="00A59B" w:themeColor="accent1"/>
    </w:rPr>
  </w:style>
  <w:style w:type="paragraph" w:customStyle="1" w:styleId="AltHeading4">
    <w:name w:val="Alt Heading 4"/>
    <w:basedOn w:val="Heading4"/>
    <w:next w:val="BodyText"/>
    <w:uiPriority w:val="1"/>
    <w:qFormat/>
    <w:rsid w:val="00685BEC"/>
    <w:pPr>
      <w:numPr>
        <w:ilvl w:val="0"/>
        <w:numId w:val="0"/>
      </w:numPr>
    </w:pPr>
  </w:style>
  <w:style w:type="character" w:customStyle="1" w:styleId="Heading5Char">
    <w:name w:val="Heading 5 Char"/>
    <w:basedOn w:val="DefaultParagraphFont"/>
    <w:link w:val="Heading5"/>
    <w:rsid w:val="00FE49F0"/>
    <w:rPr>
      <w:rFonts w:asciiTheme="majorHAnsi" w:eastAsiaTheme="majorEastAsia" w:hAnsiTheme="majorHAnsi" w:cstheme="majorBidi"/>
      <w:i/>
      <w:color w:val="00A59B" w:themeColor="accent1"/>
    </w:rPr>
  </w:style>
  <w:style w:type="paragraph" w:customStyle="1" w:styleId="AltHeading5">
    <w:name w:val="Alt Heading 5"/>
    <w:basedOn w:val="Heading5"/>
    <w:next w:val="BodyText"/>
    <w:uiPriority w:val="1"/>
    <w:qFormat/>
    <w:rsid w:val="00685BEC"/>
    <w:pPr>
      <w:numPr>
        <w:ilvl w:val="0"/>
        <w:numId w:val="0"/>
      </w:numPr>
    </w:pPr>
  </w:style>
  <w:style w:type="paragraph" w:styleId="Caption">
    <w:name w:val="caption"/>
    <w:aliases w:val="Figure Caption"/>
    <w:basedOn w:val="Normal"/>
    <w:next w:val="FigureStyle"/>
    <w:uiPriority w:val="6"/>
    <w:qFormat/>
    <w:rsid w:val="00B222FD"/>
    <w:pPr>
      <w:keepNext/>
      <w:tabs>
        <w:tab w:val="left" w:pos="1134"/>
      </w:tabs>
      <w:spacing w:before="240" w:after="120"/>
      <w:ind w:left="1134" w:hanging="1134"/>
    </w:pPr>
    <w:rPr>
      <w:i/>
      <w:iCs/>
      <w:color w:val="00A59B" w:themeColor="accent1"/>
      <w:szCs w:val="18"/>
    </w:rPr>
  </w:style>
  <w:style w:type="paragraph" w:customStyle="1" w:styleId="TableCaption">
    <w:name w:val="Table Caption"/>
    <w:basedOn w:val="Caption"/>
    <w:next w:val="BodyText"/>
    <w:uiPriority w:val="6"/>
    <w:qFormat/>
    <w:rsid w:val="00B222FD"/>
  </w:style>
  <w:style w:type="character" w:styleId="PlaceholderText">
    <w:name w:val="Placeholder Text"/>
    <w:basedOn w:val="DefaultParagraphFont"/>
    <w:uiPriority w:val="99"/>
    <w:semiHidden/>
    <w:rsid w:val="00834296"/>
    <w:rPr>
      <w:color w:val="808080"/>
    </w:rPr>
  </w:style>
  <w:style w:type="paragraph" w:styleId="BodyText">
    <w:name w:val="Body Text"/>
    <w:basedOn w:val="Normal"/>
    <w:link w:val="BodyTextChar"/>
    <w:qFormat/>
    <w:rsid w:val="00CE7B5B"/>
    <w:pPr>
      <w:spacing w:before="120" w:after="120"/>
    </w:pPr>
  </w:style>
  <w:style w:type="character" w:customStyle="1" w:styleId="BodyTextChar">
    <w:name w:val="Body Text Char"/>
    <w:basedOn w:val="DefaultParagraphFont"/>
    <w:link w:val="BodyText"/>
    <w:rsid w:val="00CE7B5B"/>
  </w:style>
  <w:style w:type="paragraph" w:customStyle="1" w:styleId="FigureStyle">
    <w:name w:val="Figure Style"/>
    <w:basedOn w:val="Normal"/>
    <w:next w:val="BodyText"/>
    <w:uiPriority w:val="6"/>
    <w:qFormat/>
    <w:rsid w:val="00CE383E"/>
    <w:pPr>
      <w:spacing w:before="120" w:after="240"/>
    </w:pPr>
  </w:style>
  <w:style w:type="paragraph" w:styleId="ListBullet0">
    <w:name w:val="List Bullet"/>
    <w:basedOn w:val="BodyText"/>
    <w:uiPriority w:val="2"/>
    <w:qFormat/>
    <w:rsid w:val="006F7AD8"/>
    <w:pPr>
      <w:numPr>
        <w:numId w:val="11"/>
      </w:numPr>
      <w:spacing w:before="60" w:after="60"/>
    </w:pPr>
  </w:style>
  <w:style w:type="numbering" w:customStyle="1" w:styleId="ListBullet">
    <w:name w:val="List_Bullet"/>
    <w:uiPriority w:val="99"/>
    <w:rsid w:val="001E544B"/>
    <w:pPr>
      <w:numPr>
        <w:numId w:val="2"/>
      </w:numPr>
    </w:pPr>
  </w:style>
  <w:style w:type="paragraph" w:customStyle="1" w:styleId="ListBullet6">
    <w:name w:val="List Bullet 6"/>
    <w:basedOn w:val="ListBullet0"/>
    <w:uiPriority w:val="19"/>
    <w:rsid w:val="006C0E44"/>
    <w:pPr>
      <w:numPr>
        <w:ilvl w:val="5"/>
      </w:numPr>
    </w:pPr>
  </w:style>
  <w:style w:type="paragraph" w:styleId="ListBullet2">
    <w:name w:val="List Bullet 2"/>
    <w:basedOn w:val="ListBullet0"/>
    <w:uiPriority w:val="19"/>
    <w:rsid w:val="006C0E44"/>
    <w:pPr>
      <w:numPr>
        <w:ilvl w:val="1"/>
      </w:numPr>
    </w:pPr>
  </w:style>
  <w:style w:type="paragraph" w:styleId="ListBullet3">
    <w:name w:val="List Bullet 3"/>
    <w:basedOn w:val="ListBullet0"/>
    <w:uiPriority w:val="19"/>
    <w:rsid w:val="006C0E44"/>
    <w:pPr>
      <w:numPr>
        <w:ilvl w:val="2"/>
      </w:numPr>
    </w:pPr>
  </w:style>
  <w:style w:type="paragraph" w:styleId="ListBullet4">
    <w:name w:val="List Bullet 4"/>
    <w:basedOn w:val="ListBullet0"/>
    <w:uiPriority w:val="19"/>
    <w:rsid w:val="006C0E44"/>
    <w:pPr>
      <w:numPr>
        <w:ilvl w:val="3"/>
      </w:numPr>
    </w:pPr>
  </w:style>
  <w:style w:type="paragraph" w:styleId="ListBullet5">
    <w:name w:val="List Bullet 5"/>
    <w:basedOn w:val="ListBullet0"/>
    <w:uiPriority w:val="19"/>
    <w:rsid w:val="006C0E44"/>
    <w:pPr>
      <w:numPr>
        <w:ilvl w:val="4"/>
      </w:numPr>
    </w:pPr>
  </w:style>
  <w:style w:type="paragraph" w:styleId="ListNumber0">
    <w:name w:val="List Number"/>
    <w:basedOn w:val="BodyText"/>
    <w:uiPriority w:val="2"/>
    <w:qFormat/>
    <w:rsid w:val="006F7AD8"/>
    <w:pPr>
      <w:numPr>
        <w:numId w:val="18"/>
      </w:numPr>
      <w:spacing w:before="60" w:after="60"/>
    </w:pPr>
  </w:style>
  <w:style w:type="paragraph" w:customStyle="1" w:styleId="ListNumber6">
    <w:name w:val="List Number 6"/>
    <w:basedOn w:val="ListNumber0"/>
    <w:uiPriority w:val="19"/>
    <w:rsid w:val="00834296"/>
    <w:pPr>
      <w:numPr>
        <w:ilvl w:val="5"/>
      </w:numPr>
    </w:pPr>
  </w:style>
  <w:style w:type="paragraph" w:customStyle="1" w:styleId="ListParagraph6">
    <w:name w:val="List Paragraph 6"/>
    <w:basedOn w:val="ListParagraph0"/>
    <w:uiPriority w:val="19"/>
    <w:rsid w:val="005E7363"/>
    <w:pPr>
      <w:numPr>
        <w:ilvl w:val="5"/>
      </w:numPr>
    </w:pPr>
  </w:style>
  <w:style w:type="paragraph" w:styleId="ListNumber2">
    <w:name w:val="List Number 2"/>
    <w:basedOn w:val="ListNumber0"/>
    <w:uiPriority w:val="19"/>
    <w:rsid w:val="00834296"/>
    <w:pPr>
      <w:numPr>
        <w:ilvl w:val="1"/>
      </w:numPr>
    </w:pPr>
  </w:style>
  <w:style w:type="paragraph" w:styleId="ListNumber3">
    <w:name w:val="List Number 3"/>
    <w:basedOn w:val="ListNumber0"/>
    <w:uiPriority w:val="19"/>
    <w:rsid w:val="00834296"/>
    <w:pPr>
      <w:numPr>
        <w:ilvl w:val="2"/>
      </w:numPr>
    </w:pPr>
  </w:style>
  <w:style w:type="paragraph" w:styleId="ListNumber4">
    <w:name w:val="List Number 4"/>
    <w:basedOn w:val="ListNumber0"/>
    <w:uiPriority w:val="19"/>
    <w:rsid w:val="00834296"/>
    <w:pPr>
      <w:numPr>
        <w:ilvl w:val="3"/>
      </w:numPr>
    </w:pPr>
  </w:style>
  <w:style w:type="paragraph" w:styleId="ListNumber5">
    <w:name w:val="List Number 5"/>
    <w:basedOn w:val="ListNumber0"/>
    <w:uiPriority w:val="19"/>
    <w:rsid w:val="00834296"/>
    <w:pPr>
      <w:numPr>
        <w:ilvl w:val="4"/>
      </w:numPr>
    </w:pPr>
  </w:style>
  <w:style w:type="numbering" w:customStyle="1" w:styleId="ListNumber">
    <w:name w:val="List_Number"/>
    <w:uiPriority w:val="99"/>
    <w:rsid w:val="00834296"/>
    <w:pPr>
      <w:numPr>
        <w:numId w:val="3"/>
      </w:numPr>
    </w:pPr>
  </w:style>
  <w:style w:type="numbering" w:customStyle="1" w:styleId="ListParagraph">
    <w:name w:val="List_Paragraph"/>
    <w:uiPriority w:val="99"/>
    <w:rsid w:val="005E7363"/>
    <w:pPr>
      <w:numPr>
        <w:numId w:val="4"/>
      </w:numPr>
    </w:pPr>
  </w:style>
  <w:style w:type="paragraph" w:customStyle="1" w:styleId="ListAlpha0">
    <w:name w:val="List Alpha"/>
    <w:basedOn w:val="BodyText"/>
    <w:uiPriority w:val="2"/>
    <w:qFormat/>
    <w:rsid w:val="006F7AD8"/>
    <w:pPr>
      <w:numPr>
        <w:numId w:val="19"/>
      </w:numPr>
      <w:spacing w:before="60" w:after="60"/>
    </w:pPr>
  </w:style>
  <w:style w:type="paragraph" w:customStyle="1" w:styleId="ListAlpha2">
    <w:name w:val="List Alpha 2"/>
    <w:basedOn w:val="ListAlpha0"/>
    <w:uiPriority w:val="19"/>
    <w:rsid w:val="007C38B8"/>
    <w:pPr>
      <w:numPr>
        <w:ilvl w:val="1"/>
      </w:numPr>
    </w:pPr>
  </w:style>
  <w:style w:type="paragraph" w:customStyle="1" w:styleId="ListAlpha3">
    <w:name w:val="List Alpha 3"/>
    <w:basedOn w:val="ListAlpha0"/>
    <w:uiPriority w:val="19"/>
    <w:rsid w:val="007C38B8"/>
    <w:pPr>
      <w:numPr>
        <w:ilvl w:val="2"/>
      </w:numPr>
    </w:pPr>
  </w:style>
  <w:style w:type="paragraph" w:customStyle="1" w:styleId="ListAlpha4">
    <w:name w:val="List Alpha 4"/>
    <w:basedOn w:val="ListAlpha0"/>
    <w:uiPriority w:val="19"/>
    <w:rsid w:val="007C38B8"/>
    <w:pPr>
      <w:numPr>
        <w:ilvl w:val="3"/>
      </w:numPr>
    </w:pPr>
  </w:style>
  <w:style w:type="paragraph" w:customStyle="1" w:styleId="ListAlpha5">
    <w:name w:val="List Alpha 5"/>
    <w:basedOn w:val="ListAlpha0"/>
    <w:uiPriority w:val="19"/>
    <w:rsid w:val="007C38B8"/>
    <w:pPr>
      <w:numPr>
        <w:ilvl w:val="4"/>
      </w:numPr>
    </w:pPr>
  </w:style>
  <w:style w:type="paragraph" w:customStyle="1" w:styleId="ListAlpha6">
    <w:name w:val="List Alpha 6"/>
    <w:basedOn w:val="ListAlpha0"/>
    <w:uiPriority w:val="19"/>
    <w:rsid w:val="007C38B8"/>
    <w:pPr>
      <w:numPr>
        <w:ilvl w:val="5"/>
      </w:numPr>
    </w:pPr>
  </w:style>
  <w:style w:type="numbering" w:customStyle="1" w:styleId="ListAlpha">
    <w:name w:val="List_Alpha"/>
    <w:uiPriority w:val="99"/>
    <w:rsid w:val="007C38B8"/>
    <w:pPr>
      <w:numPr>
        <w:numId w:val="5"/>
      </w:numPr>
    </w:pPr>
  </w:style>
  <w:style w:type="numbering" w:customStyle="1" w:styleId="ListNbrHeading">
    <w:name w:val="List_NbrHeading"/>
    <w:uiPriority w:val="99"/>
    <w:rsid w:val="00FE49F0"/>
    <w:pPr>
      <w:numPr>
        <w:numId w:val="7"/>
      </w:numPr>
    </w:pPr>
  </w:style>
  <w:style w:type="paragraph" w:styleId="Title">
    <w:name w:val="Title"/>
    <w:basedOn w:val="Normal"/>
    <w:next w:val="BodyText"/>
    <w:link w:val="TitleChar"/>
    <w:uiPriority w:val="10"/>
    <w:rsid w:val="00742683"/>
    <w:rPr>
      <w:rFonts w:asciiTheme="majorHAnsi" w:eastAsiaTheme="majorEastAsia" w:hAnsiTheme="majorHAnsi" w:cstheme="majorBidi"/>
      <w:b/>
      <w:color w:val="FFFFFF" w:themeColor="background1"/>
      <w:sz w:val="48"/>
      <w:szCs w:val="56"/>
    </w:rPr>
  </w:style>
  <w:style w:type="character" w:customStyle="1" w:styleId="TitleChar">
    <w:name w:val="Title Char"/>
    <w:basedOn w:val="DefaultParagraphFont"/>
    <w:link w:val="Title"/>
    <w:uiPriority w:val="10"/>
    <w:rsid w:val="00742683"/>
    <w:rPr>
      <w:rFonts w:asciiTheme="majorHAnsi" w:eastAsiaTheme="majorEastAsia" w:hAnsiTheme="majorHAnsi" w:cstheme="majorBidi"/>
      <w:b/>
      <w:color w:val="FFFFFF" w:themeColor="background1"/>
      <w:sz w:val="48"/>
      <w:szCs w:val="56"/>
    </w:rPr>
  </w:style>
  <w:style w:type="paragraph" w:styleId="Subtitle">
    <w:name w:val="Subtitle"/>
    <w:basedOn w:val="Normal"/>
    <w:next w:val="BodyText"/>
    <w:link w:val="SubtitleChar"/>
    <w:uiPriority w:val="11"/>
    <w:rsid w:val="00742683"/>
    <w:pPr>
      <w:numPr>
        <w:ilvl w:val="1"/>
      </w:numPr>
      <w:spacing w:before="120" w:after="120"/>
    </w:pPr>
    <w:rPr>
      <w:rFonts w:eastAsiaTheme="minorEastAsia"/>
      <w:sz w:val="40"/>
    </w:rPr>
  </w:style>
  <w:style w:type="character" w:customStyle="1" w:styleId="SubtitleChar">
    <w:name w:val="Subtitle Char"/>
    <w:basedOn w:val="DefaultParagraphFont"/>
    <w:link w:val="Subtitle"/>
    <w:uiPriority w:val="11"/>
    <w:rsid w:val="00742683"/>
    <w:rPr>
      <w:rFonts w:eastAsiaTheme="minorEastAsia"/>
      <w:sz w:val="40"/>
    </w:rPr>
  </w:style>
  <w:style w:type="paragraph" w:styleId="TOCHeading">
    <w:name w:val="TOC Heading"/>
    <w:basedOn w:val="Normal"/>
    <w:next w:val="Normal"/>
    <w:uiPriority w:val="39"/>
    <w:rsid w:val="00FE49F0"/>
    <w:pPr>
      <w:spacing w:before="360" w:after="240"/>
    </w:pPr>
    <w:rPr>
      <w:b/>
      <w:color w:val="3B3944" w:themeColor="accent2"/>
      <w:sz w:val="32"/>
    </w:rPr>
  </w:style>
  <w:style w:type="paragraph" w:styleId="TOC4">
    <w:name w:val="toc 4"/>
    <w:basedOn w:val="TOC1"/>
    <w:next w:val="Normal"/>
    <w:uiPriority w:val="39"/>
    <w:rsid w:val="00670B05"/>
    <w:pPr>
      <w:tabs>
        <w:tab w:val="left" w:pos="851"/>
      </w:tabs>
      <w:ind w:left="851" w:hanging="851"/>
    </w:pPr>
  </w:style>
  <w:style w:type="paragraph" w:styleId="TOC5">
    <w:name w:val="toc 5"/>
    <w:basedOn w:val="TOC2"/>
    <w:next w:val="Normal"/>
    <w:uiPriority w:val="39"/>
    <w:rsid w:val="00670B05"/>
    <w:pPr>
      <w:tabs>
        <w:tab w:val="left" w:pos="851"/>
      </w:tabs>
      <w:ind w:left="851" w:hanging="851"/>
    </w:pPr>
  </w:style>
  <w:style w:type="paragraph" w:styleId="TOC1">
    <w:name w:val="toc 1"/>
    <w:basedOn w:val="Normal"/>
    <w:next w:val="Normal"/>
    <w:uiPriority w:val="39"/>
    <w:rsid w:val="00CE7B5B"/>
    <w:pPr>
      <w:tabs>
        <w:tab w:val="right" w:leader="dot" w:pos="9072"/>
      </w:tabs>
      <w:spacing w:before="120" w:after="60"/>
    </w:pPr>
    <w:rPr>
      <w:b/>
      <w:sz w:val="24"/>
    </w:rPr>
  </w:style>
  <w:style w:type="paragraph" w:styleId="TOC6">
    <w:name w:val="toc 6"/>
    <w:basedOn w:val="TOC3"/>
    <w:next w:val="Normal"/>
    <w:uiPriority w:val="39"/>
    <w:rsid w:val="00670B05"/>
    <w:pPr>
      <w:tabs>
        <w:tab w:val="left" w:pos="851"/>
      </w:tabs>
      <w:ind w:left="851" w:hanging="851"/>
    </w:pPr>
  </w:style>
  <w:style w:type="paragraph" w:styleId="Quote">
    <w:name w:val="Quote"/>
    <w:basedOn w:val="BodyText"/>
    <w:next w:val="Normal"/>
    <w:link w:val="QuoteChar"/>
    <w:uiPriority w:val="8"/>
    <w:rsid w:val="00990E1C"/>
    <w:pPr>
      <w:spacing w:before="180" w:after="180"/>
      <w:jc w:val="both"/>
    </w:pPr>
    <w:rPr>
      <w:i/>
      <w:iCs/>
      <w:color w:val="6C5E42"/>
    </w:rPr>
  </w:style>
  <w:style w:type="paragraph" w:styleId="TOC2">
    <w:name w:val="toc 2"/>
    <w:basedOn w:val="Normal"/>
    <w:next w:val="Normal"/>
    <w:uiPriority w:val="39"/>
    <w:rsid w:val="00CE7B5B"/>
    <w:pPr>
      <w:tabs>
        <w:tab w:val="right" w:leader="dot" w:pos="9072"/>
      </w:tabs>
      <w:spacing w:before="60" w:after="60"/>
    </w:pPr>
  </w:style>
  <w:style w:type="paragraph" w:styleId="TOC3">
    <w:name w:val="toc 3"/>
    <w:basedOn w:val="Normal"/>
    <w:next w:val="Normal"/>
    <w:uiPriority w:val="39"/>
    <w:rsid w:val="00346F32"/>
    <w:pPr>
      <w:tabs>
        <w:tab w:val="right" w:leader="dot" w:pos="9072"/>
      </w:tabs>
      <w:spacing w:before="20" w:after="20"/>
    </w:pPr>
    <w:rPr>
      <w:sz w:val="20"/>
    </w:rPr>
  </w:style>
  <w:style w:type="character" w:customStyle="1" w:styleId="QuoteChar">
    <w:name w:val="Quote Char"/>
    <w:basedOn w:val="DefaultParagraphFont"/>
    <w:link w:val="Quote"/>
    <w:uiPriority w:val="8"/>
    <w:rsid w:val="00990E1C"/>
    <w:rPr>
      <w:i/>
      <w:iCs/>
      <w:color w:val="6C5E42"/>
    </w:rPr>
  </w:style>
  <w:style w:type="paragraph" w:styleId="Footer">
    <w:name w:val="footer"/>
    <w:basedOn w:val="Normal"/>
    <w:link w:val="FooterChar"/>
    <w:uiPriority w:val="99"/>
    <w:rsid w:val="00C20C17"/>
  </w:style>
  <w:style w:type="character" w:customStyle="1" w:styleId="FooterChar">
    <w:name w:val="Footer Char"/>
    <w:basedOn w:val="DefaultParagraphFont"/>
    <w:link w:val="Footer"/>
    <w:uiPriority w:val="99"/>
    <w:rsid w:val="00C20C17"/>
    <w:rPr>
      <w:sz w:val="18"/>
    </w:rPr>
  </w:style>
  <w:style w:type="paragraph" w:styleId="Header">
    <w:name w:val="header"/>
    <w:basedOn w:val="Normal"/>
    <w:link w:val="HeaderChar"/>
    <w:uiPriority w:val="99"/>
    <w:rsid w:val="00B91B99"/>
    <w:rPr>
      <w:color w:val="FFFFFF" w:themeColor="background1"/>
      <w:sz w:val="20"/>
    </w:rPr>
  </w:style>
  <w:style w:type="character" w:customStyle="1" w:styleId="HeaderChar">
    <w:name w:val="Header Char"/>
    <w:basedOn w:val="DefaultParagraphFont"/>
    <w:link w:val="Header"/>
    <w:uiPriority w:val="99"/>
    <w:rsid w:val="00B91B99"/>
    <w:rPr>
      <w:color w:val="FFFFFF" w:themeColor="background1"/>
      <w:sz w:val="20"/>
    </w:rPr>
  </w:style>
  <w:style w:type="table" w:styleId="TableGrid">
    <w:name w:val="Table Grid"/>
    <w:aliases w:val="Table No Border"/>
    <w:basedOn w:val="TableNormal"/>
    <w:uiPriority w:val="39"/>
    <w:rsid w:val="00A34437"/>
    <w:pPr>
      <w:spacing w:after="0" w:line="240" w:lineRule="auto"/>
    </w:pPr>
    <w:tblPr>
      <w:tblCellMar>
        <w:left w:w="0" w:type="dxa"/>
        <w:right w:w="0" w:type="dxa"/>
      </w:tblCellMar>
    </w:tblPr>
  </w:style>
  <w:style w:type="table" w:customStyle="1" w:styleId="TealTable">
    <w:name w:val="Teal Table"/>
    <w:basedOn w:val="TableNormal"/>
    <w:uiPriority w:val="99"/>
    <w:rsid w:val="00F13D23"/>
    <w:pPr>
      <w:spacing w:after="0" w:line="240" w:lineRule="auto"/>
    </w:pPr>
    <w:tblPr>
      <w:tblStyleRowBandSize w:val="1"/>
      <w:tblStyleColBandSize w:val="1"/>
      <w:tblBorders>
        <w:top w:val="single" w:sz="4" w:space="0" w:color="00A59B" w:themeColor="accent1"/>
        <w:bottom w:val="single" w:sz="4" w:space="0" w:color="00A59B" w:themeColor="accent1"/>
        <w:insideH w:val="single" w:sz="4" w:space="0" w:color="00A59B" w:themeColor="accent1"/>
      </w:tblBorders>
      <w:tblCellMar>
        <w:left w:w="0" w:type="dxa"/>
        <w:right w:w="0" w:type="dxa"/>
      </w:tblCellMar>
    </w:tblPr>
    <w:tblStylePr w:type="firstRow">
      <w:rPr>
        <w:color w:val="FFFFFF" w:themeColor="background1"/>
      </w:rPr>
      <w:tblPr/>
      <w:tcPr>
        <w:shd w:val="clear" w:color="auto" w:fill="00A59B" w:themeFill="accent1"/>
      </w:tcPr>
    </w:tblStylePr>
    <w:tblStylePr w:type="lastRow">
      <w:tblPr/>
      <w:tcPr>
        <w:shd w:val="clear" w:color="auto" w:fill="F0EDE7"/>
      </w:tcPr>
    </w:tblStylePr>
    <w:tblStylePr w:type="firstCol">
      <w:rPr>
        <w:color w:val="FFFFFF" w:themeColor="background1"/>
      </w:rPr>
      <w:tblPr/>
      <w:tcPr>
        <w:tcBorders>
          <w:top w:val="nil"/>
          <w:left w:val="nil"/>
          <w:bottom w:val="single" w:sz="4" w:space="0" w:color="00A59B" w:themeColor="accent1"/>
          <w:right w:val="nil"/>
          <w:insideH w:val="single" w:sz="4" w:space="0" w:color="FFFFFF" w:themeColor="background1"/>
          <w:insideV w:val="nil"/>
          <w:tl2br w:val="nil"/>
          <w:tr2bl w:val="nil"/>
        </w:tcBorders>
        <w:shd w:val="clear" w:color="auto" w:fill="00A59B" w:themeFill="accent1"/>
      </w:tcPr>
    </w:tblStylePr>
    <w:tblStylePr w:type="lastCol">
      <w:tblPr/>
      <w:tcPr>
        <w:shd w:val="clear" w:color="auto" w:fill="F0EDE7"/>
      </w:tcPr>
    </w:tblStylePr>
    <w:tblStylePr w:type="band2Vert">
      <w:tblPr/>
      <w:tcPr>
        <w:shd w:val="clear" w:color="auto" w:fill="F0EDE7"/>
      </w:tcPr>
    </w:tblStylePr>
    <w:tblStylePr w:type="band2Horz">
      <w:tblPr/>
      <w:tcPr>
        <w:shd w:val="clear" w:color="auto" w:fill="F0EDE7"/>
      </w:tcPr>
    </w:tblStylePr>
  </w:style>
  <w:style w:type="table" w:customStyle="1" w:styleId="CharcoalFeatureTable">
    <w:name w:val="Charcoal Feature Table"/>
    <w:basedOn w:val="TableNormal"/>
    <w:uiPriority w:val="99"/>
    <w:rsid w:val="00F13D23"/>
    <w:pPr>
      <w:spacing w:after="0" w:line="240" w:lineRule="auto"/>
    </w:pPr>
    <w:tblPr>
      <w:tblStyleRowBandSize w:val="1"/>
      <w:tblStyleColBandSize w:val="1"/>
      <w:tblBorders>
        <w:top w:val="single" w:sz="18" w:space="0" w:color="3B3944" w:themeColor="accent2"/>
        <w:bottom w:val="single" w:sz="18" w:space="0" w:color="3B3944" w:themeColor="accent2"/>
      </w:tblBorders>
      <w:tblCellMar>
        <w:left w:w="0" w:type="dxa"/>
        <w:right w:w="0" w:type="dxa"/>
      </w:tblCellMar>
    </w:tblPr>
    <w:tblStylePr w:type="firstRow">
      <w:rPr>
        <w:color w:val="00A59B" w:themeColor="accent1"/>
      </w:rPr>
      <w:tblPr/>
      <w:tcPr>
        <w:tcBorders>
          <w:bottom w:val="single" w:sz="18" w:space="0" w:color="3B3944" w:themeColor="accent2"/>
        </w:tcBorders>
        <w:shd w:val="clear" w:color="auto" w:fill="FFFFFF" w:themeFill="background1"/>
      </w:tcPr>
    </w:tblStylePr>
    <w:tblStylePr w:type="lastRow">
      <w:tblPr/>
      <w:tcPr>
        <w:shd w:val="clear" w:color="auto" w:fill="F0EDE7"/>
      </w:tcPr>
    </w:tblStylePr>
    <w:tblStylePr w:type="firstCol">
      <w:rPr>
        <w:color w:val="00A59B" w:themeColor="accent1"/>
      </w:rPr>
    </w:tblStylePr>
    <w:tblStylePr w:type="lastCol">
      <w:rPr>
        <w:color w:val="auto"/>
      </w:rPr>
      <w:tblPr/>
      <w:tcPr>
        <w:shd w:val="clear" w:color="auto" w:fill="F0EDE7"/>
      </w:tcPr>
    </w:tblStylePr>
    <w:tblStylePr w:type="band2Vert">
      <w:tblPr/>
      <w:tcPr>
        <w:shd w:val="clear" w:color="auto" w:fill="F0EDE7"/>
      </w:tcPr>
    </w:tblStylePr>
    <w:tblStylePr w:type="band2Horz">
      <w:tblPr/>
      <w:tcPr>
        <w:shd w:val="clear" w:color="auto" w:fill="F0EDE7"/>
      </w:tcPr>
    </w:tblStylePr>
  </w:style>
  <w:style w:type="table" w:customStyle="1" w:styleId="TealFeatureTable">
    <w:name w:val="Teal Feature Table"/>
    <w:basedOn w:val="TableNormal"/>
    <w:uiPriority w:val="99"/>
    <w:rsid w:val="00F13D23"/>
    <w:pPr>
      <w:spacing w:after="0" w:line="240" w:lineRule="auto"/>
    </w:pPr>
    <w:tblPr>
      <w:tblStyleRowBandSize w:val="1"/>
      <w:tblStyleColBandSize w:val="1"/>
      <w:tblBorders>
        <w:top w:val="single" w:sz="18" w:space="0" w:color="00A59B" w:themeColor="accent1"/>
        <w:bottom w:val="single" w:sz="18" w:space="0" w:color="00A59B" w:themeColor="accent1"/>
      </w:tblBorders>
      <w:tblCellMar>
        <w:left w:w="0" w:type="dxa"/>
        <w:right w:w="0" w:type="dxa"/>
      </w:tblCellMar>
    </w:tblPr>
    <w:tblStylePr w:type="firstRow">
      <w:rPr>
        <w:color w:val="00A59B" w:themeColor="accent1"/>
      </w:rPr>
      <w:tblPr/>
      <w:tcPr>
        <w:tcBorders>
          <w:top w:val="single" w:sz="18" w:space="0" w:color="00A59B" w:themeColor="accent1"/>
          <w:left w:val="nil"/>
          <w:bottom w:val="single" w:sz="18" w:space="0" w:color="00A59B" w:themeColor="accent1"/>
          <w:right w:val="nil"/>
          <w:insideH w:val="nil"/>
          <w:insideV w:val="nil"/>
          <w:tl2br w:val="nil"/>
          <w:tr2bl w:val="nil"/>
        </w:tcBorders>
        <w:shd w:val="clear" w:color="auto" w:fill="FFFFFF" w:themeFill="background1"/>
      </w:tcPr>
    </w:tblStylePr>
    <w:tblStylePr w:type="lastRow">
      <w:tblPr/>
      <w:tcPr>
        <w:shd w:val="clear" w:color="auto" w:fill="F0EDE7"/>
      </w:tcPr>
    </w:tblStylePr>
    <w:tblStylePr w:type="firstCol">
      <w:rPr>
        <w:color w:val="00A59B" w:themeColor="accent1"/>
      </w:rPr>
    </w:tblStylePr>
    <w:tblStylePr w:type="lastCol">
      <w:tblPr/>
      <w:tcPr>
        <w:shd w:val="clear" w:color="auto" w:fill="F0EDE7"/>
      </w:tcPr>
    </w:tblStylePr>
    <w:tblStylePr w:type="band2Vert">
      <w:tblPr/>
      <w:tcPr>
        <w:shd w:val="clear" w:color="auto" w:fill="F0EDE7"/>
      </w:tcPr>
    </w:tblStylePr>
    <w:tblStylePr w:type="band2Horz">
      <w:tblPr/>
      <w:tcPr>
        <w:shd w:val="clear" w:color="auto" w:fill="F0EDE7"/>
      </w:tcPr>
    </w:tblStylePr>
  </w:style>
  <w:style w:type="paragraph" w:customStyle="1" w:styleId="PulloutText">
    <w:name w:val="Pullout Text"/>
    <w:basedOn w:val="Normal"/>
    <w:uiPriority w:val="7"/>
    <w:qFormat/>
    <w:rsid w:val="00990E1C"/>
    <w:pPr>
      <w:spacing w:before="180" w:after="180"/>
    </w:pPr>
    <w:rPr>
      <w:color w:val="6C5E42"/>
    </w:rPr>
  </w:style>
  <w:style w:type="character" w:styleId="UnresolvedMention">
    <w:name w:val="Unresolved Mention"/>
    <w:basedOn w:val="DefaultParagraphFont"/>
    <w:uiPriority w:val="99"/>
    <w:semiHidden/>
    <w:unhideWhenUsed/>
    <w:rsid w:val="00035585"/>
    <w:rPr>
      <w:color w:val="605E5C"/>
      <w:shd w:val="clear" w:color="auto" w:fill="E1DFDD"/>
    </w:rPr>
  </w:style>
  <w:style w:type="table" w:customStyle="1" w:styleId="CharcoalTable">
    <w:name w:val="Charcoal Table"/>
    <w:basedOn w:val="TableNormal"/>
    <w:uiPriority w:val="99"/>
    <w:rsid w:val="00F13D23"/>
    <w:pPr>
      <w:spacing w:after="0" w:line="240" w:lineRule="auto"/>
    </w:pPr>
    <w:tblPr>
      <w:tblStyleRowBandSize w:val="1"/>
      <w:tblStyleColBandSize w:val="1"/>
      <w:tblBorders>
        <w:top w:val="single" w:sz="4" w:space="0" w:color="00A59B" w:themeColor="accent1"/>
        <w:bottom w:val="single" w:sz="4" w:space="0" w:color="00A59B" w:themeColor="accent1"/>
        <w:insideH w:val="single" w:sz="4" w:space="0" w:color="00A59B" w:themeColor="accent1"/>
      </w:tblBorders>
      <w:tblCellMar>
        <w:left w:w="0" w:type="dxa"/>
        <w:right w:w="0" w:type="dxa"/>
      </w:tblCellMar>
    </w:tblPr>
    <w:tblStylePr w:type="firstRow">
      <w:rPr>
        <w:color w:val="FFFFFF" w:themeColor="background1"/>
      </w:rPr>
      <w:tblPr/>
      <w:tcPr>
        <w:shd w:val="clear" w:color="auto" w:fill="858195" w:themeFill="accent2" w:themeFillTint="99"/>
      </w:tcPr>
    </w:tblStylePr>
    <w:tblStylePr w:type="lastRow">
      <w:tblPr/>
      <w:tcPr>
        <w:shd w:val="clear" w:color="auto" w:fill="F0EDE7"/>
      </w:tcPr>
    </w:tblStylePr>
    <w:tblStylePr w:type="firstCol">
      <w:rPr>
        <w:color w:val="FFFFFF" w:themeColor="background1"/>
      </w:rPr>
      <w:tblPr/>
      <w:tcPr>
        <w:shd w:val="clear" w:color="auto" w:fill="858195" w:themeFill="accent2" w:themeFillTint="99"/>
      </w:tcPr>
    </w:tblStylePr>
    <w:tblStylePr w:type="lastCol">
      <w:tblPr/>
      <w:tcPr>
        <w:shd w:val="clear" w:color="auto" w:fill="F0EDE7"/>
      </w:tcPr>
    </w:tblStylePr>
    <w:tblStylePr w:type="band2Vert">
      <w:tblPr/>
      <w:tcPr>
        <w:shd w:val="clear" w:color="auto" w:fill="F0EDE7"/>
      </w:tcPr>
    </w:tblStylePr>
    <w:tblStylePr w:type="band2Horz">
      <w:tblPr/>
      <w:tcPr>
        <w:shd w:val="clear" w:color="auto" w:fill="F0EDE7"/>
      </w:tcPr>
    </w:tblStylePr>
  </w:style>
  <w:style w:type="paragraph" w:customStyle="1" w:styleId="Photocaption">
    <w:name w:val="Photo caption"/>
    <w:basedOn w:val="Normal"/>
    <w:uiPriority w:val="7"/>
    <w:qFormat/>
    <w:rsid w:val="0089118A"/>
    <w:pPr>
      <w:spacing w:before="60" w:after="60"/>
      <w:contextualSpacing/>
    </w:pPr>
    <w:rPr>
      <w:color w:val="3B383A"/>
      <w:sz w:val="16"/>
    </w:rPr>
  </w:style>
  <w:style w:type="paragraph" w:customStyle="1" w:styleId="TableText">
    <w:name w:val="Table Text"/>
    <w:basedOn w:val="Normal"/>
    <w:uiPriority w:val="3"/>
    <w:qFormat/>
    <w:rsid w:val="00DB162B"/>
    <w:pPr>
      <w:spacing w:before="60" w:after="60"/>
      <w:ind w:left="113" w:right="113"/>
    </w:pPr>
  </w:style>
  <w:style w:type="paragraph" w:customStyle="1" w:styleId="TableHeading">
    <w:name w:val="Table Heading"/>
    <w:basedOn w:val="TableText"/>
    <w:link w:val="TableHeadingChar"/>
    <w:uiPriority w:val="3"/>
    <w:qFormat/>
    <w:rsid w:val="00B025B0"/>
    <w:rPr>
      <w:b/>
    </w:rPr>
  </w:style>
  <w:style w:type="paragraph" w:customStyle="1" w:styleId="TableBullet">
    <w:name w:val="Table Bullet"/>
    <w:basedOn w:val="TableText"/>
    <w:link w:val="TableBulletChar"/>
    <w:uiPriority w:val="4"/>
    <w:qFormat/>
    <w:rsid w:val="00B025B0"/>
    <w:pPr>
      <w:numPr>
        <w:numId w:val="15"/>
      </w:numPr>
    </w:pPr>
  </w:style>
  <w:style w:type="paragraph" w:customStyle="1" w:styleId="TableBullet2">
    <w:name w:val="Table Bullet 2"/>
    <w:basedOn w:val="TableBullet"/>
    <w:uiPriority w:val="19"/>
    <w:rsid w:val="00B025B0"/>
    <w:pPr>
      <w:numPr>
        <w:ilvl w:val="1"/>
      </w:numPr>
    </w:pPr>
  </w:style>
  <w:style w:type="paragraph" w:customStyle="1" w:styleId="TableNumber">
    <w:name w:val="Table Number"/>
    <w:basedOn w:val="TableText"/>
    <w:uiPriority w:val="4"/>
    <w:qFormat/>
    <w:rsid w:val="00B025B0"/>
    <w:pPr>
      <w:numPr>
        <w:numId w:val="21"/>
      </w:numPr>
    </w:pPr>
  </w:style>
  <w:style w:type="paragraph" w:customStyle="1" w:styleId="TableNumber2">
    <w:name w:val="Table Number 2"/>
    <w:basedOn w:val="TableNumber"/>
    <w:uiPriority w:val="19"/>
    <w:rsid w:val="00B025B0"/>
    <w:pPr>
      <w:numPr>
        <w:ilvl w:val="1"/>
      </w:numPr>
    </w:pPr>
  </w:style>
  <w:style w:type="numbering" w:customStyle="1" w:styleId="ListTableBullet">
    <w:name w:val="List_TableBullet"/>
    <w:uiPriority w:val="99"/>
    <w:rsid w:val="00B025B0"/>
    <w:pPr>
      <w:numPr>
        <w:numId w:val="8"/>
      </w:numPr>
    </w:pPr>
  </w:style>
  <w:style w:type="numbering" w:customStyle="1" w:styleId="ListTableNumber">
    <w:name w:val="List_TableNumber"/>
    <w:uiPriority w:val="99"/>
    <w:rsid w:val="00B025B0"/>
    <w:pPr>
      <w:numPr>
        <w:numId w:val="9"/>
      </w:numPr>
    </w:pPr>
  </w:style>
  <w:style w:type="paragraph" w:customStyle="1" w:styleId="CoverDetails">
    <w:name w:val="Cover Details"/>
    <w:basedOn w:val="Normal"/>
    <w:next w:val="BodyText"/>
    <w:uiPriority w:val="12"/>
    <w:rsid w:val="00742683"/>
    <w:pPr>
      <w:spacing w:before="240" w:after="240" w:line="264" w:lineRule="auto"/>
    </w:pPr>
    <w:rPr>
      <w:color w:val="FFFFFF" w:themeColor="background1"/>
      <w:sz w:val="24"/>
    </w:rPr>
  </w:style>
  <w:style w:type="paragraph" w:customStyle="1" w:styleId="AppendixH2">
    <w:name w:val="Appendix H2"/>
    <w:basedOn w:val="Heading2"/>
    <w:next w:val="BodyText"/>
    <w:uiPriority w:val="14"/>
    <w:qFormat/>
    <w:rsid w:val="00990E1C"/>
    <w:pPr>
      <w:numPr>
        <w:numId w:val="26"/>
      </w:numPr>
    </w:pPr>
  </w:style>
  <w:style w:type="paragraph" w:customStyle="1" w:styleId="AppendixH3">
    <w:name w:val="Appendix H3"/>
    <w:basedOn w:val="Heading3"/>
    <w:next w:val="BodyText"/>
    <w:uiPriority w:val="14"/>
    <w:qFormat/>
    <w:rsid w:val="00990E1C"/>
    <w:pPr>
      <w:numPr>
        <w:numId w:val="26"/>
      </w:numPr>
    </w:pPr>
  </w:style>
  <w:style w:type="numbering" w:customStyle="1" w:styleId="ListAppendix">
    <w:name w:val="List_Appendix"/>
    <w:uiPriority w:val="99"/>
    <w:rsid w:val="00990E1C"/>
    <w:pPr>
      <w:numPr>
        <w:numId w:val="10"/>
      </w:numPr>
    </w:pPr>
  </w:style>
  <w:style w:type="paragraph" w:styleId="TOC8">
    <w:name w:val="toc 8"/>
    <w:basedOn w:val="TOC2"/>
    <w:next w:val="Normal"/>
    <w:uiPriority w:val="39"/>
    <w:rsid w:val="005D17D9"/>
    <w:pPr>
      <w:tabs>
        <w:tab w:val="left" w:pos="1134"/>
      </w:tabs>
      <w:ind w:left="1134" w:hanging="1134"/>
    </w:pPr>
  </w:style>
  <w:style w:type="paragraph" w:styleId="TableofFigures">
    <w:name w:val="table of figures"/>
    <w:basedOn w:val="Normal"/>
    <w:next w:val="Normal"/>
    <w:uiPriority w:val="99"/>
    <w:unhideWhenUsed/>
    <w:rsid w:val="00742683"/>
    <w:pPr>
      <w:tabs>
        <w:tab w:val="left" w:pos="1134"/>
        <w:tab w:val="right" w:leader="dot" w:pos="9628"/>
      </w:tabs>
      <w:spacing w:before="60" w:after="60"/>
      <w:ind w:left="1134" w:hanging="1134"/>
    </w:pPr>
    <w:rPr>
      <w:color w:val="3B3944" w:themeColor="accent2"/>
    </w:rPr>
  </w:style>
  <w:style w:type="character" w:styleId="Hyperlink">
    <w:name w:val="Hyperlink"/>
    <w:basedOn w:val="DefaultParagraphFont"/>
    <w:uiPriority w:val="99"/>
    <w:rsid w:val="00B742E4"/>
    <w:rPr>
      <w:color w:val="00989D" w:themeColor="hyperlink"/>
      <w:u w:val="single"/>
    </w:rPr>
  </w:style>
  <w:style w:type="character" w:customStyle="1" w:styleId="Heading9Char">
    <w:name w:val="Heading 9 Char"/>
    <w:aliases w:val="Appendix H1 Char"/>
    <w:basedOn w:val="DefaultParagraphFont"/>
    <w:link w:val="Heading9"/>
    <w:uiPriority w:val="12"/>
    <w:rsid w:val="00990E1C"/>
    <w:rPr>
      <w:b/>
      <w:iCs/>
      <w:color w:val="3B3944" w:themeColor="accent2"/>
      <w:sz w:val="32"/>
      <w:szCs w:val="21"/>
    </w:rPr>
  </w:style>
  <w:style w:type="paragraph" w:styleId="FootnoteText">
    <w:name w:val="footnote text"/>
    <w:basedOn w:val="Normal"/>
    <w:link w:val="FootnoteTextChar"/>
    <w:uiPriority w:val="99"/>
    <w:rsid w:val="005D17D9"/>
    <w:pPr>
      <w:tabs>
        <w:tab w:val="left" w:pos="170"/>
      </w:tabs>
      <w:ind w:left="170" w:hanging="170"/>
    </w:pPr>
    <w:rPr>
      <w:color w:val="3B3844"/>
      <w:sz w:val="18"/>
      <w:szCs w:val="20"/>
    </w:rPr>
  </w:style>
  <w:style w:type="character" w:customStyle="1" w:styleId="FootnoteTextChar">
    <w:name w:val="Footnote Text Char"/>
    <w:basedOn w:val="DefaultParagraphFont"/>
    <w:link w:val="FootnoteText"/>
    <w:uiPriority w:val="99"/>
    <w:rsid w:val="005D17D9"/>
    <w:rPr>
      <w:color w:val="3B3844"/>
      <w:sz w:val="18"/>
      <w:szCs w:val="20"/>
    </w:rPr>
  </w:style>
  <w:style w:type="character" w:styleId="FootnoteReference">
    <w:name w:val="footnote reference"/>
    <w:basedOn w:val="DefaultParagraphFont"/>
    <w:uiPriority w:val="99"/>
    <w:semiHidden/>
    <w:rsid w:val="00C20C17"/>
    <w:rPr>
      <w:vertAlign w:val="superscript"/>
    </w:rPr>
  </w:style>
  <w:style w:type="character" w:styleId="FollowedHyperlink">
    <w:name w:val="FollowedHyperlink"/>
    <w:basedOn w:val="DefaultParagraphFont"/>
    <w:uiPriority w:val="15"/>
    <w:rsid w:val="00670B05"/>
    <w:rPr>
      <w:color w:val="00989D" w:themeColor="followedHyperlink"/>
      <w:u w:val="single"/>
    </w:rPr>
  </w:style>
  <w:style w:type="table" w:customStyle="1" w:styleId="NeutralTable">
    <w:name w:val="Neutral Table"/>
    <w:basedOn w:val="TableNormal"/>
    <w:uiPriority w:val="99"/>
    <w:rsid w:val="00F13D23"/>
    <w:pPr>
      <w:spacing w:after="0" w:line="240" w:lineRule="auto"/>
    </w:pPr>
    <w:tblPr>
      <w:tblStyleRowBandSize w:val="1"/>
      <w:tblStyleColBandSize w:val="1"/>
      <w:tblBorders>
        <w:top w:val="single" w:sz="4" w:space="0" w:color="C2B59B"/>
        <w:bottom w:val="single" w:sz="4" w:space="0" w:color="C2B59B"/>
        <w:insideH w:val="single" w:sz="4" w:space="0" w:color="C2B59B"/>
      </w:tblBorders>
      <w:tblCellMar>
        <w:left w:w="0" w:type="dxa"/>
        <w:right w:w="0" w:type="dxa"/>
      </w:tblCellMar>
    </w:tblPr>
    <w:tblStylePr w:type="firstRow">
      <w:rPr>
        <w:color w:val="FFFFFF" w:themeColor="background1"/>
      </w:rPr>
      <w:tblPr/>
      <w:tcPr>
        <w:shd w:val="clear" w:color="auto" w:fill="C2B59B"/>
      </w:tcPr>
    </w:tblStylePr>
    <w:tblStylePr w:type="lastRow">
      <w:tblPr/>
      <w:tcPr>
        <w:shd w:val="clear" w:color="auto" w:fill="F0EDE7"/>
      </w:tcPr>
    </w:tblStylePr>
    <w:tblStylePr w:type="firstCol">
      <w:rPr>
        <w:color w:val="FFFFFF" w:themeColor="background1"/>
      </w:rPr>
      <w:tblPr/>
      <w:tcPr>
        <w:tcBorders>
          <w:insideH w:val="single" w:sz="4" w:space="0" w:color="FFFFFF" w:themeColor="background1"/>
        </w:tcBorders>
        <w:shd w:val="clear" w:color="auto" w:fill="C2B59B"/>
      </w:tcPr>
    </w:tblStylePr>
    <w:tblStylePr w:type="lastCol">
      <w:tblPr/>
      <w:tcPr>
        <w:shd w:val="clear" w:color="auto" w:fill="F0EDE7"/>
      </w:tcPr>
    </w:tblStylePr>
    <w:tblStylePr w:type="band2Vert">
      <w:tblPr/>
      <w:tcPr>
        <w:shd w:val="clear" w:color="auto" w:fill="F0EDE7"/>
      </w:tcPr>
    </w:tblStylePr>
    <w:tblStylePr w:type="band2Horz">
      <w:tblPr/>
      <w:tcPr>
        <w:shd w:val="clear" w:color="auto" w:fill="F0EDE7"/>
      </w:tcPr>
    </w:tblStylePr>
  </w:style>
  <w:style w:type="table" w:customStyle="1" w:styleId="NeutralFeatureTable">
    <w:name w:val="Neutral Feature Table"/>
    <w:basedOn w:val="TableNormal"/>
    <w:uiPriority w:val="99"/>
    <w:rsid w:val="00F13D23"/>
    <w:pPr>
      <w:spacing w:after="0" w:line="240" w:lineRule="auto"/>
    </w:pPr>
    <w:tblPr>
      <w:tblStyleRowBandSize w:val="1"/>
      <w:tblStyleColBandSize w:val="1"/>
      <w:tblBorders>
        <w:top w:val="single" w:sz="18" w:space="0" w:color="C2B59B"/>
        <w:bottom w:val="single" w:sz="18" w:space="0" w:color="C2B59B"/>
      </w:tblBorders>
      <w:tblCellMar>
        <w:left w:w="0" w:type="dxa"/>
        <w:right w:w="0" w:type="dxa"/>
      </w:tblCellMar>
    </w:tblPr>
    <w:tblStylePr w:type="firstRow">
      <w:rPr>
        <w:color w:val="00A59B" w:themeColor="accent1"/>
      </w:rPr>
      <w:tblPr/>
      <w:tcPr>
        <w:tcBorders>
          <w:top w:val="single" w:sz="18" w:space="0" w:color="C2B59B" w:themeColor="accent3"/>
          <w:left w:val="nil"/>
          <w:bottom w:val="single" w:sz="18" w:space="0" w:color="C2B59B" w:themeColor="accent3"/>
          <w:right w:val="nil"/>
          <w:insideH w:val="nil"/>
          <w:insideV w:val="nil"/>
          <w:tl2br w:val="nil"/>
          <w:tr2bl w:val="nil"/>
        </w:tcBorders>
        <w:shd w:val="clear" w:color="auto" w:fill="FFFFFF" w:themeFill="background1"/>
      </w:tcPr>
    </w:tblStylePr>
    <w:tblStylePr w:type="lastRow">
      <w:tblPr/>
      <w:tcPr>
        <w:shd w:val="clear" w:color="auto" w:fill="F0EDE7"/>
      </w:tcPr>
    </w:tblStylePr>
    <w:tblStylePr w:type="firstCol">
      <w:rPr>
        <w:color w:val="00A59B" w:themeColor="accent1"/>
      </w:rPr>
    </w:tblStylePr>
    <w:tblStylePr w:type="lastCol">
      <w:tblPr/>
      <w:tcPr>
        <w:shd w:val="clear" w:color="auto" w:fill="F0EDE7"/>
      </w:tcPr>
    </w:tblStylePr>
    <w:tblStylePr w:type="band2Vert">
      <w:tblPr/>
      <w:tcPr>
        <w:shd w:val="clear" w:color="auto" w:fill="F0EDE7"/>
      </w:tcPr>
    </w:tblStylePr>
    <w:tblStylePr w:type="band2Horz">
      <w:tblPr/>
      <w:tcPr>
        <w:shd w:val="clear" w:color="auto" w:fill="F0EDE7"/>
      </w:tcPr>
    </w:tblStylePr>
  </w:style>
  <w:style w:type="paragraph" w:customStyle="1" w:styleId="PulloutTextLarge">
    <w:name w:val="Pullout Text Large"/>
    <w:basedOn w:val="PulloutText"/>
    <w:uiPriority w:val="7"/>
    <w:qFormat/>
    <w:rsid w:val="00990E1C"/>
    <w:rPr>
      <w:sz w:val="28"/>
    </w:rPr>
  </w:style>
  <w:style w:type="paragraph" w:customStyle="1" w:styleId="QuoteLarge">
    <w:name w:val="Quote Large"/>
    <w:basedOn w:val="Quote"/>
    <w:uiPriority w:val="8"/>
    <w:qFormat/>
    <w:rsid w:val="00990E1C"/>
    <w:rPr>
      <w:sz w:val="28"/>
    </w:rPr>
  </w:style>
  <w:style w:type="paragraph" w:styleId="Revision">
    <w:name w:val="Revision"/>
    <w:hidden/>
    <w:uiPriority w:val="99"/>
    <w:semiHidden/>
    <w:rsid w:val="00F6456A"/>
    <w:pPr>
      <w:spacing w:after="0" w:line="240" w:lineRule="auto"/>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F872BD"/>
    <w:rPr>
      <w:b/>
      <w:bCs/>
    </w:rPr>
  </w:style>
  <w:style w:type="character" w:customStyle="1" w:styleId="CommentSubjectChar">
    <w:name w:val="Comment Subject Char"/>
    <w:basedOn w:val="CommentTextChar"/>
    <w:link w:val="CommentSubject"/>
    <w:uiPriority w:val="99"/>
    <w:semiHidden/>
    <w:rsid w:val="00F872BD"/>
    <w:rPr>
      <w:b/>
      <w:bCs/>
      <w:sz w:val="20"/>
      <w:szCs w:val="20"/>
    </w:rPr>
  </w:style>
  <w:style w:type="character" w:customStyle="1" w:styleId="TableBulletChar">
    <w:name w:val="Table Bullet Char"/>
    <w:link w:val="TableBullet"/>
    <w:uiPriority w:val="4"/>
    <w:locked/>
    <w:rsid w:val="00697F8C"/>
  </w:style>
  <w:style w:type="character" w:customStyle="1" w:styleId="TableHeadingChar">
    <w:name w:val="Table Heading Char"/>
    <w:link w:val="TableHeading"/>
    <w:uiPriority w:val="3"/>
    <w:locked/>
    <w:rsid w:val="00697F8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26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tatecover.sharepoint.com/sites/Intranet/Lists/Staff%20Directory/DispForm.aspx?ID=199&amp;e=rRgOjJ" TargetMode="External"/><Relationship Id="rId18" Type="http://schemas.openxmlformats.org/officeDocument/2006/relationships/hyperlink" Target="https://statecover.sharepoint.com/sites/Intranet/SitePages/Internal-Contacts.aspx" TargetMode="External"/><Relationship Id="rId26" Type="http://schemas.openxmlformats.org/officeDocument/2006/relationships/hyperlink" Target="https://aus01.safelinks.protection.outlook.com/?url=https%3A%2F%2Fforms.office.com%2FPages%2FResponsePage.aspx%3Fid%3DEE6IPToNSkuGKtwTkvSUXfl2Jd3kUK9OsG0bvNvbjCRUNlNFUVhHVTg1SzlFU0lHQlk2QjY5NkpRVCQlQCN0PWcu&amp;data=04%7C01%7Cjlee%40statecover.net.au%7C2894ceb9a21d402c9b1c08d8efd89206%7C3d884e100d3a4b4a862adc1392f4945d%7C0%7C0%7C637523060741014574%7CUnknown%7CTWFpbGZsb3d8eyJWIjoiMC4wLjAwMDAiLCJQIjoiV2luMzIiLCJBTiI6Ik1haWwiLCJXVCI6Mn0%3D%7C1000&amp;sdata=qxRhw%2FExBu3RzrKoOKDLEpOLAR9kabFxFsRxsyfjdno%3D&amp;reserved=0" TargetMode="External"/><Relationship Id="rId3" Type="http://schemas.openxmlformats.org/officeDocument/2006/relationships/customXml" Target="../customXml/item3.xml"/><Relationship Id="rId21" Type="http://schemas.openxmlformats.org/officeDocument/2006/relationships/hyperlink" Target="http://www5.austlii.edu.au/au/legis/cth/consol_act/ca2001172/s1317aad.html" TargetMode="External"/><Relationship Id="rId7" Type="http://schemas.openxmlformats.org/officeDocument/2006/relationships/styles" Target="styles.xml"/><Relationship Id="rId12" Type="http://schemas.openxmlformats.org/officeDocument/2006/relationships/hyperlink" Target="https://www.ato.gov.au/general/gen/whistleblowers/" TargetMode="External"/><Relationship Id="rId17" Type="http://schemas.openxmlformats.org/officeDocument/2006/relationships/hyperlink" Target="mailto:whistleblower@statecover.net.au" TargetMode="External"/><Relationship Id="rId25" Type="http://schemas.openxmlformats.org/officeDocument/2006/relationships/hyperlink" Target="https://statecover.sharepoint.com/managementsystem/Reference/Human%20Resources%20Reference%20Folder/AccessEAP%20Website%20-%20Employee%20Login%20Information.pdf"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ato.gov.au/General/Gen/Whistleblowers/" TargetMode="External"/><Relationship Id="rId20" Type="http://schemas.openxmlformats.org/officeDocument/2006/relationships/hyperlink" Target="https://statecover.sharepoint.com/:w:/r/managementsystem/Guidance/Gen%20Management%20and%20Governance%20Guidance%20Folder/Whistleblower%20Reporting%20Form.docx?d=wa6571c6d87b84c8eb429a53ba4db9b7b&amp;csf=1&amp;web=1&amp;e=wvD9kJ"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statecover.sharepoint.com/:w:/r/managementsystem/_layouts/15/Doc.aspx?sourcedoc=%7B4D08645F-98DF-4E78-91A2-7A4B125BD7F3%7D&amp;file=Performance%20and%20Misconduct%20Policy.docx&amp;action=default&amp;mobileredirect=true" TargetMode="External"/><Relationship Id="rId32"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asic.gov.au/about-asic/asic-investigations-and-enforcement/whistleblowing/how-asic-handles-whistleblower-reports/" TargetMode="External"/><Relationship Id="rId23" Type="http://schemas.openxmlformats.org/officeDocument/2006/relationships/hyperlink" Target="https://www.legislation.gov.au/Details/C2019C00216/Html/Volume_5" TargetMode="External"/><Relationship Id="rId28"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statecover.com.au/about/our-story"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pra.gov.au/contact-us" TargetMode="External"/><Relationship Id="rId22" Type="http://schemas.openxmlformats.org/officeDocument/2006/relationships/hyperlink" Target="https://statecover.sharepoint.com/sites/Intranet/Lists/Staff%20Directory/DispForm.aspx?ID=7&amp;e=G0yRui"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3CB11E266741E79C1BB82ECB584ACB"/>
        <w:category>
          <w:name w:val="General"/>
          <w:gallery w:val="placeholder"/>
        </w:category>
        <w:types>
          <w:type w:val="bbPlcHdr"/>
        </w:types>
        <w:behaviors>
          <w:behavior w:val="content"/>
        </w:behaviors>
        <w:guid w:val="{A6661399-DC49-45CE-9531-6B8BD9886D19}"/>
      </w:docPartPr>
      <w:docPartBody>
        <w:p w:rsidR="004E0584" w:rsidRDefault="0060734D" w:rsidP="0060734D">
          <w:pPr>
            <w:pStyle w:val="093CB11E266741E79C1BB82ECB584ACB1"/>
          </w:pPr>
          <w:r w:rsidRPr="00087D9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34D"/>
    <w:rsid w:val="004E0584"/>
    <w:rsid w:val="0060734D"/>
    <w:rsid w:val="007B2561"/>
    <w:rsid w:val="00B65C20"/>
    <w:rsid w:val="00B917AD"/>
    <w:rsid w:val="00D0236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734D"/>
    <w:rPr>
      <w:color w:val="808080"/>
    </w:rPr>
  </w:style>
  <w:style w:type="paragraph" w:customStyle="1" w:styleId="093CB11E266741E79C1BB82ECB584ACB1">
    <w:name w:val="093CB11E266741E79C1BB82ECB584ACB1"/>
    <w:rsid w:val="0060734D"/>
    <w:pPr>
      <w:spacing w:after="0" w:line="240" w:lineRule="auto"/>
    </w:pPr>
    <w:rPr>
      <w:rFonts w:eastAsiaTheme="minorHAnsi"/>
      <w:color w:val="FFFFFF" w:themeColor="background1"/>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Statecover">
      <a:dk1>
        <a:sysClr val="windowText" lastClr="000000"/>
      </a:dk1>
      <a:lt1>
        <a:sysClr val="window" lastClr="FFFFFF"/>
      </a:lt1>
      <a:dk2>
        <a:srgbClr val="00AA77"/>
      </a:dk2>
      <a:lt2>
        <a:srgbClr val="C7005D"/>
      </a:lt2>
      <a:accent1>
        <a:srgbClr val="00A59B"/>
      </a:accent1>
      <a:accent2>
        <a:srgbClr val="3B3944"/>
      </a:accent2>
      <a:accent3>
        <a:srgbClr val="C2B59B"/>
      </a:accent3>
      <a:accent4>
        <a:srgbClr val="F5875F"/>
      </a:accent4>
      <a:accent5>
        <a:srgbClr val="FFF200"/>
      </a:accent5>
      <a:accent6>
        <a:srgbClr val="ADD136"/>
      </a:accent6>
      <a:hlink>
        <a:srgbClr val="00989D"/>
      </a:hlink>
      <a:folHlink>
        <a:srgbClr val="00989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ln/>
      </a:spPr>
      <a:bodyPr rot="0" spcFirstLastPara="0" vertOverflow="overflow" horzOverflow="overflow" vert="horz" wrap="square" lIns="288000" tIns="72000" rIns="288000" bIns="72000" numCol="1" spcCol="0" rtlCol="0" fromWordArt="0" anchor="t" anchorCtr="0" forceAA="0" compatLnSpc="1">
        <a:prstTxWarp prst="textNoShape">
          <a:avLst/>
        </a:prstTxWarp>
        <a:spAutoFit/>
      </a:bodyPr>
      <a:lstStyle/>
      <a:style>
        <a:lnRef idx="1">
          <a:schemeClr val="accent3"/>
        </a:lnRef>
        <a:fillRef idx="2">
          <a:schemeClr val="accent3"/>
        </a:fillRef>
        <a:effectRef idx="1">
          <a:schemeClr val="accent3"/>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Topic</p:Name>
  <p:Description/>
  <p:Statement/>
  <p:PolicyItems>
    <p:PolicyItem featureId="Microsoft.Office.RecordsManagement.PolicyFeatures.PolicyLabel" staticId="0x010100F6D10875621433429AAE02DC63C8C0E000294951B0B635974EB4D81D56F7E82E49|-1306371497" UniqueId="8d71c015-1845-401e-bbe6-af792dab8053">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Calibri</font>
          </properties>
          <segment type="literal">Version: </segment>
          <segment type="metadata">_UIVersionString</segment>
        </label>
      </p:CustomData>
    </p:PolicyItem>
  </p:PolicyItems>
</p:Policy>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Document_x0020_Type xmlns="2ed3cb5f-54fe-4a7f-ad2e-d1393b965496" xsi:nil="true"/>
    <Contributors xmlns="2ed3cb5f-54fe-4a7f-ad2e-d1393b965496">
      <UserInfo>
        <DisplayName/>
        <AccountId xsi:nil="true"/>
        <AccountType/>
      </UserInfo>
    </Contributors>
    <DLCPolicyLabelClientValue xmlns="2ed3cb5f-54fe-4a7f-ad2e-d1393b965496">Version: {_UIVersionString}</DLCPolicyLabelClientValue>
    <Authoriser xmlns="2ed3cb5f-54fe-4a7f-ad2e-d1393b965496">
      <UserInfo>
        <DisplayName>Julie Lee</DisplayName>
        <AccountId>12</AccountId>
        <AccountType/>
      </UserInfo>
    </Authoriser>
    <Roles xmlns="2ed3cb5f-54fe-4a7f-ad2e-d1393b965496">
      <Value>16</Value>
    </Roles>
    <DLCPolicyLabelLock xmlns="2ed3cb5f-54fe-4a7f-ad2e-d1393b965496" xsi:nil="true"/>
    <Process xmlns="2ed3cb5f-54fe-4a7f-ad2e-d1393b965496">36</Process>
    <Status xmlns="2ed3cb5f-54fe-4a7f-ad2e-d1393b965496">Current</Status>
    <Publish_x0020_Date xmlns="2ed3cb5f-54fe-4a7f-ad2e-d1393b965496">September 2022</Publish_x0020_Date>
    <Topic_x0020_Order xmlns="2ed3cb5f-54fe-4a7f-ad2e-d1393b965496" xsi:nil="true"/>
    <_dlc_Exempt xmlns="http://schemas.microsoft.com/sharepoint/v3" xsi:nil="true"/>
    <SharedWithUsers xmlns="5a951041-7578-45c6-a45d-bdf3ec1cba01">
      <UserInfo>
        <DisplayName>Sharepoint Test</DisplayName>
        <AccountId>56</AccountId>
        <AccountType/>
      </UserInfo>
    </SharedWithUsers>
    <DLCPolicyLabelValue xmlns="2ed3cb5f-54fe-4a7f-ad2e-d1393b965496">Version: 5.0</DLCPolicyLabelValue>
  </documentManagement>
</p:properties>
</file>

<file path=customXml/item5.xml><?xml version="1.0" encoding="utf-8"?>
<ct:contentTypeSchema xmlns:ct="http://schemas.microsoft.com/office/2006/metadata/contentType" xmlns:ma="http://schemas.microsoft.com/office/2006/metadata/properties/metaAttributes" ct:_="" ma:_="" ma:contentTypeName="Topic" ma:contentTypeID="0x010100F6D10875621433429AAE02DC63C8C0E000294951B0B635974EB4D81D56F7E82E49" ma:contentTypeVersion="60" ma:contentTypeDescription="" ma:contentTypeScope="" ma:versionID="a7e0e7ec92d85c93d2bc3d1568e81c6f">
  <xsd:schema xmlns:xsd="http://www.w3.org/2001/XMLSchema" xmlns:xs="http://www.w3.org/2001/XMLSchema" xmlns:p="http://schemas.microsoft.com/office/2006/metadata/properties" xmlns:ns1="http://schemas.microsoft.com/sharepoint/v3" xmlns:ns2="2ed3cb5f-54fe-4a7f-ad2e-d1393b965496" xmlns:ns3="5a951041-7578-45c6-a45d-bdf3ec1cba01" targetNamespace="http://schemas.microsoft.com/office/2006/metadata/properties" ma:root="true" ma:fieldsID="26e18bf29ff4bc30ca4d2958a6b15d05" ns1:_="" ns2:_="" ns3:_="">
    <xsd:import namespace="http://schemas.microsoft.com/sharepoint/v3"/>
    <xsd:import namespace="2ed3cb5f-54fe-4a7f-ad2e-d1393b965496"/>
    <xsd:import namespace="5a951041-7578-45c6-a45d-bdf3ec1cba01"/>
    <xsd:element name="properties">
      <xsd:complexType>
        <xsd:sequence>
          <xsd:element name="documentManagement">
            <xsd:complexType>
              <xsd:all>
                <xsd:element ref="ns2:Authoriser" minOccurs="0"/>
                <xsd:element ref="ns2:Contributors" minOccurs="0"/>
                <xsd:element ref="ns2:Roles" minOccurs="0"/>
                <xsd:element ref="ns2:Process" minOccurs="0"/>
                <xsd:element ref="ns2:Topic_x0020_Order" minOccurs="0"/>
                <xsd:element ref="ns2:Status" minOccurs="0"/>
                <xsd:element ref="ns2:Publish_x0020_Date" minOccurs="0"/>
                <xsd:element ref="ns2:DLCPolicyLabelValue" minOccurs="0"/>
                <xsd:element ref="ns2:DLCPolicyLabelClientValue" minOccurs="0"/>
                <xsd:element ref="ns2:DLCPolicyLabelLock" minOccurs="0"/>
                <xsd:element ref="ns1:_dlc_Exempt" minOccurs="0"/>
                <xsd:element ref="ns3:LastSharedByUser" minOccurs="0"/>
                <xsd:element ref="ns3:LastSharedByTime" minOccurs="0"/>
                <xsd:element ref="ns2:MediaServiceMetadata" minOccurs="0"/>
                <xsd:element ref="ns2:MediaServiceFastMetadata" minOccurs="0"/>
                <xsd:element ref="ns2:Process_x003a_GetFunction" minOccurs="0"/>
                <xsd:element ref="ns3:SharedWithDetails" minOccurs="0"/>
                <xsd:element ref="ns3:SharedWithUsers" minOccurs="0"/>
                <xsd:element ref="ns2:MediaServiceEventHashCode" minOccurs="0"/>
                <xsd:element ref="ns2:MediaServiceGenerationTime" minOccurs="0"/>
                <xsd:element ref="ns2:MediaServiceAutoKeyPoints" minOccurs="0"/>
                <xsd:element ref="ns2:MediaServiceKeyPoints" minOccurs="0"/>
                <xsd:element ref="ns2: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6" nillable="true" ma:displayName="Exempt from Policy" ma:description="" ma:hidden="true" ma:internalName="_dlc_Exempt"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ed3cb5f-54fe-4a7f-ad2e-d1393b965496" elementFormDefault="qualified">
    <xsd:import namespace="http://schemas.microsoft.com/office/2006/documentManagement/types"/>
    <xsd:import namespace="http://schemas.microsoft.com/office/infopath/2007/PartnerControls"/>
    <xsd:element name="Authoriser" ma:index="2" nillable="true" ma:displayName="Coordinator" ma:list="UserInfo" ma:SharePointGroup="0" ma:internalName="Authoris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ibutors" ma:index="3" nillable="true" ma:displayName="Contributors" ma:list="UserInfo" ma:SharePointGroup="0" ma:internalName="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oles" ma:index="4" nillable="true" ma:displayName="Roles" ma:list="{49f59ca4-4c09-4a70-9e48-0ef81f7c4da0}" ma:internalName="Role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Process" ma:index="5" nillable="true" ma:displayName="Process" ma:list="{9cfa1f96-f1e1-453f-b2fb-910e19378a82}" ma:internalName="Process" ma:readOnly="false" ma:showField="Title">
      <xsd:simpleType>
        <xsd:restriction base="dms:Lookup"/>
      </xsd:simpleType>
    </xsd:element>
    <xsd:element name="Topic_x0020_Order" ma:index="6" nillable="true" ma:displayName="Topic Order" ma:internalName="Topic_x0020_Order" ma:readOnly="false">
      <xsd:simpleType>
        <xsd:restriction base="dms:Number"/>
      </xsd:simpleType>
    </xsd:element>
    <xsd:element name="Status" ma:index="7" nillable="true" ma:displayName="Status" ma:default="Current" ma:format="Dropdown" ma:internalName="Status" ma:readOnly="false">
      <xsd:simpleType>
        <xsd:restriction base="dms:Choice">
          <xsd:enumeration value="Current"/>
          <xsd:enumeration value="Obsolete"/>
        </xsd:restriction>
      </xsd:simpleType>
    </xsd:element>
    <xsd:element name="Publish_x0020_Date" ma:index="8" nillable="true" ma:displayName="Publication Date" ma:internalName="Publish_x0020_Date" ma:readOnly="false">
      <xsd:simpleType>
        <xsd:restriction base="dms:Text">
          <xsd:maxLength value="255"/>
        </xsd:restriction>
      </xsd:simpleType>
    </xsd:element>
    <xsd:element name="DLCPolicyLabelValue" ma:index="13" nillable="true" ma:displayName="Label" ma:description="Stores the current value of the label." ma:hidden="true" ma:internalName="DLCPolicyLabelValue" ma:readOnly="true">
      <xsd:simpleType>
        <xsd:restriction base="dms:Note"/>
      </xsd:simpleType>
    </xsd:element>
    <xsd:element name="DLCPolicyLabelClientValue" ma:index="1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15" nillable="true" ma:displayName="Label Locked" ma:description="Indicates whether the label should be updated when item properties are modified." ma:hidden="true" ma:internalName="DLCPolicyLabelLock" ma:readOnly="false">
      <xsd:simpleType>
        <xsd:restriction base="dms:Text"/>
      </xsd:simpleType>
    </xsd:element>
    <xsd:element name="MediaServiceMetadata" ma:index="19" nillable="true" ma:displayName="MediaServiceMetadata" ma:description="" ma:hidden="true" ma:internalName="MediaServiceMetadata" ma:readOnly="true">
      <xsd:simpleType>
        <xsd:restriction base="dms:Note"/>
      </xsd:simpleType>
    </xsd:element>
    <xsd:element name="MediaServiceFastMetadata" ma:index="20" nillable="true" ma:displayName="MediaServiceFastMetadata" ma:description="" ma:hidden="true" ma:internalName="MediaServiceFastMetadata" ma:readOnly="true">
      <xsd:simpleType>
        <xsd:restriction base="dms:Note"/>
      </xsd:simpleType>
    </xsd:element>
    <xsd:element name="Process_x003a_GetFunction" ma:index="22" nillable="true" ma:displayName="Function" ma:hidden="true" ma:list="{9cfa1f96-f1e1-453f-b2fb-910e19378a82}" ma:internalName="Process_x003a_GetFunction" ma:readOnly="true" ma:showField="GetFunction" ma:web="6c853554-68e1-42d0-93de-004bde1d69c9">
      <xsd:simpleType>
        <xsd:restriction base="dms:Lookup"/>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hidden="true" ma:internalName="MediaServiceKeyPoints" ma:readOnly="true">
      <xsd:simpleType>
        <xsd:restriction base="dms:Note"/>
      </xsd:simpleType>
    </xsd:element>
    <xsd:element name="Document_x0020_Type" ma:index="30" nillable="true" ma:displayName="Document Type" ma:list="{c3354f8a-8267-4da1-9b95-6349ccab409a}" ma:internalName="Document_x0020_Type"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5a951041-7578-45c6-a45d-bdf3ec1cba01" elementFormDefault="qualified">
    <xsd:import namespace="http://schemas.microsoft.com/office/2006/documentManagement/types"/>
    <xsd:import namespace="http://schemas.microsoft.com/office/infopath/2007/PartnerControls"/>
    <xsd:element name="LastSharedByUser" ma:index="17" nillable="true" ma:displayName="Last Shared By User" ma:description="" ma:hidden="true" ma:internalName="LastSharedByUser" ma:readOnly="true">
      <xsd:simpleType>
        <xsd:restriction base="dms:Note"/>
      </xsd:simpleType>
    </xsd:element>
    <xsd:element name="LastSharedByTime" ma:index="18" nillable="true" ma:displayName="Last Shared By Time" ma:description="" ma:hidden="true" ma:internalName="LastSharedByTime" ma:readOnly="true">
      <xsd:simpleType>
        <xsd:restriction base="dms:DateTime"/>
      </xsd:simpleType>
    </xsd:element>
    <xsd:element name="SharedWithDetails" ma:index="24" nillable="true" ma:displayName="Shared With Details" ma:description="" ma:hidden="true" ma:internalName="SharedWithDetails" ma:readOnly="true">
      <xsd:simpleType>
        <xsd:restriction base="dms:Note"/>
      </xsd:simpleType>
    </xsd:element>
    <xsd:element name="SharedWithUsers" ma:index="25" nillable="true" ma:displayName="Shared With"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CDAC32-7B5B-45EF-979A-8E440FCFCFA6}">
  <ds:schemaRefs>
    <ds:schemaRef ds:uri="office.server.policy"/>
  </ds:schemaRefs>
</ds:datastoreItem>
</file>

<file path=customXml/itemProps2.xml><?xml version="1.0" encoding="utf-8"?>
<ds:datastoreItem xmlns:ds="http://schemas.openxmlformats.org/officeDocument/2006/customXml" ds:itemID="{F1F3C667-A469-4B91-9741-BD160E309778}">
  <ds:schemaRefs>
    <ds:schemaRef ds:uri="http://schemas.microsoft.com/sharepoint/v3/contenttype/forms"/>
  </ds:schemaRefs>
</ds:datastoreItem>
</file>

<file path=customXml/itemProps3.xml><?xml version="1.0" encoding="utf-8"?>
<ds:datastoreItem xmlns:ds="http://schemas.openxmlformats.org/officeDocument/2006/customXml" ds:itemID="{3D22BC10-DC74-440B-9A1B-ECEBFF8816BD}">
  <ds:schemaRefs>
    <ds:schemaRef ds:uri="http://schemas.openxmlformats.org/officeDocument/2006/bibliography"/>
  </ds:schemaRefs>
</ds:datastoreItem>
</file>

<file path=customXml/itemProps4.xml><?xml version="1.0" encoding="utf-8"?>
<ds:datastoreItem xmlns:ds="http://schemas.openxmlformats.org/officeDocument/2006/customXml" ds:itemID="{E4993FEF-5DFA-466B-862C-4C2035BFAA8C}">
  <ds:schemaRefs>
    <ds:schemaRef ds:uri="http://purl.org/dc/elements/1.1/"/>
    <ds:schemaRef ds:uri="http://purl.org/dc/dcmitype/"/>
    <ds:schemaRef ds:uri="http://purl.org/dc/terms/"/>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schemas.microsoft.com/sharepoint/v3"/>
    <ds:schemaRef ds:uri="5a951041-7578-45c6-a45d-bdf3ec1cba01"/>
    <ds:schemaRef ds:uri="2ed3cb5f-54fe-4a7f-ad2e-d1393b965496"/>
    <ds:schemaRef ds:uri="http://schemas.microsoft.com/office/2006/metadata/properties"/>
  </ds:schemaRefs>
</ds:datastoreItem>
</file>

<file path=customXml/itemProps5.xml><?xml version="1.0" encoding="utf-8"?>
<ds:datastoreItem xmlns:ds="http://schemas.openxmlformats.org/officeDocument/2006/customXml" ds:itemID="{DE0EC5F7-97D7-468E-90AC-305C730F1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ed3cb5f-54fe-4a7f-ad2e-d1393b965496"/>
    <ds:schemaRef ds:uri="5a951041-7578-45c6-a45d-bdf3ec1cb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7</Pages>
  <Words>3120</Words>
  <Characters>17790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Whistleblower protection – reporting serious wrongdoing</vt:lpstr>
    </vt:vector>
  </TitlesOfParts>
  <Company/>
  <LinksUpToDate>false</LinksUpToDate>
  <CharactersWithSpaces>20869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Whistleblower protection – reporting serious wrongdoing</dc:title>
  <dc:subject/>
  <dc:creator>Elle Baitieri</dc:creator>
  <cp:keywords/>
  <dc:description/>
  <cp:lastModifiedBy>Julie Lee</cp:lastModifiedBy>
  <cp:revision>11</cp:revision>
  <cp:lastPrinted>2018-12-10T20:20:00Z</cp:lastPrinted>
  <dcterms:created xsi:type="dcterms:W3CDTF">2022-09-29T04:01:00Z</dcterms:created>
  <dcterms:modified xsi:type="dcterms:W3CDTF">2022-09-29T06:08:00Z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lated Topic">
    <vt:lpwstr>15</vt:lpwstr>
  </property>
  <property fmtid="{D5CDD505-2E9C-101B-9397-08002B2CF9AE}" pid="3" name="Processes">
    <vt:lpwstr>27</vt:lpwstr>
  </property>
  <property fmtid="{D5CDD505-2E9C-101B-9397-08002B2CF9AE}" pid="4" name="DevStat">
    <vt:lpwstr>No Content</vt:lpwstr>
  </property>
  <property fmtid="{D5CDD505-2E9C-101B-9397-08002B2CF9AE}" pid="5" name="Figtree">
    <vt:bool>false</vt:bool>
  </property>
  <property fmtid="{D5CDD505-2E9C-101B-9397-08002B2CF9AE}" pid="6" name="ContentTypeId">
    <vt:lpwstr>0x010100F6D10875621433429AAE02DC63C8C0E000294951B0B635974EB4D81D56F7E82E49</vt:lpwstr>
  </property>
</Properties>
</file>